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ACA3" w14:textId="25F7BED1" w:rsidR="002960D4" w:rsidRPr="009E7618" w:rsidRDefault="002960D4" w:rsidP="009E7618">
      <w:pPr>
        <w:pStyle w:val="Ttol1"/>
        <w:jc w:val="both"/>
        <w:rPr>
          <w:u w:val="single"/>
        </w:rPr>
      </w:pPr>
      <w:r w:rsidRPr="009E7618">
        <w:rPr>
          <w:u w:val="single"/>
        </w:rPr>
        <w:t xml:space="preserve">Informe de compliment dels requeriments de la llei orgànica 2/2012 a la liquidació </w:t>
      </w:r>
      <w:r w:rsidR="00B73C66">
        <w:rPr>
          <w:u w:val="single"/>
        </w:rPr>
        <w:t>del pressupost de l’exercici 202</w:t>
      </w:r>
      <w:r w:rsidR="0079528C">
        <w:rPr>
          <w:u w:val="single"/>
        </w:rPr>
        <w:t>3</w:t>
      </w:r>
    </w:p>
    <w:p w14:paraId="02429CEB" w14:textId="77777777" w:rsidR="002960D4" w:rsidRDefault="002960D4"/>
    <w:p w14:paraId="508AA395" w14:textId="77777777" w:rsidR="002960D4" w:rsidRDefault="002960D4"/>
    <w:p w14:paraId="71B27E85" w14:textId="77777777" w:rsidR="002960D4" w:rsidRDefault="002960D4">
      <w:pPr>
        <w:rPr>
          <w:rFonts w:ascii="Arial" w:hAnsi="Arial" w:cs="Arial"/>
          <w:b/>
          <w:sz w:val="28"/>
          <w:szCs w:val="28"/>
          <w:u w:val="single"/>
        </w:rPr>
      </w:pPr>
    </w:p>
    <w:p w14:paraId="67AC9AAB" w14:textId="77777777" w:rsidR="002960D4" w:rsidRDefault="002960D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Controls de la Llei Orgànica 2/2012</w:t>
      </w:r>
    </w:p>
    <w:p w14:paraId="63B670C1" w14:textId="77777777" w:rsidR="002960D4" w:rsidRDefault="002960D4">
      <w:pPr>
        <w:spacing w:line="360" w:lineRule="auto"/>
        <w:jc w:val="both"/>
        <w:rPr>
          <w:rFonts w:ascii="Arial" w:hAnsi="Arial" w:cs="Arial"/>
        </w:rPr>
      </w:pPr>
    </w:p>
    <w:p w14:paraId="691085C3" w14:textId="77777777" w:rsidR="002960D4" w:rsidRPr="00E90350" w:rsidRDefault="002960D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0350">
        <w:rPr>
          <w:rFonts w:ascii="Arial" w:hAnsi="Arial" w:cs="Arial"/>
          <w:sz w:val="22"/>
          <w:szCs w:val="22"/>
        </w:rPr>
        <w:t>D’acord amb l’article 3 de la llei orgànica 2/2012 de 27 de abril, d’Estabilitat Pressupostària i Sostenibilitat Financera (LOEPSF en endavant)</w:t>
      </w:r>
      <w:r w:rsidRPr="00E90350">
        <w:rPr>
          <w:bCs/>
          <w:sz w:val="22"/>
          <w:szCs w:val="22"/>
        </w:rPr>
        <w:t xml:space="preserve">, </w:t>
      </w:r>
      <w:r w:rsidRPr="00E90350">
        <w:rPr>
          <w:bCs/>
          <w:i/>
          <w:sz w:val="22"/>
          <w:szCs w:val="22"/>
        </w:rPr>
        <w:t>“l</w:t>
      </w:r>
      <w:r w:rsidRPr="00E90350">
        <w:rPr>
          <w:rFonts w:ascii="Arial" w:hAnsi="Arial" w:cs="Arial"/>
          <w:i/>
          <w:sz w:val="22"/>
          <w:szCs w:val="22"/>
        </w:rPr>
        <w:t>’elaboració, aprovació i execució dels pressupostos i altres actuacions que afectin les despeses o ingressos dels diferents subjectes compresos en l’àmbit d’aplicació d’aquesta Llei s’ha de fer en un marc d’estabilitat pressupostària, coherent amb la normativa europea”.</w:t>
      </w:r>
    </w:p>
    <w:p w14:paraId="39E86807" w14:textId="77777777" w:rsidR="002960D4" w:rsidRPr="00E90350" w:rsidRDefault="002960D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3EB9462" w14:textId="77777777" w:rsidR="002960D4" w:rsidRPr="00E90350" w:rsidRDefault="002960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0350">
        <w:rPr>
          <w:rFonts w:ascii="Arial" w:hAnsi="Arial" w:cs="Arial"/>
          <w:sz w:val="22"/>
          <w:szCs w:val="22"/>
        </w:rPr>
        <w:t xml:space="preserve">L’article 6 de la LOEPSF exigeix que  </w:t>
      </w:r>
      <w:r w:rsidRPr="00E90350">
        <w:rPr>
          <w:rFonts w:ascii="Arial" w:hAnsi="Arial" w:cs="Arial"/>
          <w:i/>
          <w:sz w:val="22"/>
          <w:szCs w:val="22"/>
        </w:rPr>
        <w:t xml:space="preserve">“el pressupost i la liquidació, han de contenir informació suficient i adequada que permeti verificar la seva situació financera, el compliment dels objectius d’estabilitat pressupostària i de sostenibilitat financera i l’observança dels requeriments acordats en la normativa europea en aquesta matèria”. </w:t>
      </w:r>
      <w:r w:rsidRPr="00E90350">
        <w:rPr>
          <w:rFonts w:ascii="Arial" w:hAnsi="Arial" w:cs="Arial"/>
          <w:sz w:val="22"/>
          <w:szCs w:val="22"/>
        </w:rPr>
        <w:t>Per tant, aquesta informació no és solament per l’acte d’aprovació, sinó que forma part del mateix expedient de liquidació.</w:t>
      </w:r>
    </w:p>
    <w:p w14:paraId="1FA84427" w14:textId="77777777" w:rsidR="002960D4" w:rsidRDefault="002960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4B49C3" w14:textId="77777777" w:rsidR="002960D4" w:rsidRPr="00E90350" w:rsidRDefault="002960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0350">
        <w:rPr>
          <w:rFonts w:ascii="Arial" w:hAnsi="Arial" w:cs="Arial"/>
          <w:sz w:val="22"/>
          <w:szCs w:val="22"/>
        </w:rPr>
        <w:t xml:space="preserve">Els controls a validar, atenent al que determina l’article 21 són l’objectiu d’estabilitat pressupostària, l’objectiu de deute públic i la regla de despesa </w:t>
      </w:r>
      <w:r w:rsidRPr="00E90350">
        <w:rPr>
          <w:rFonts w:ascii="Arial" w:hAnsi="Arial" w:cs="Arial"/>
          <w:i/>
          <w:sz w:val="22"/>
          <w:szCs w:val="22"/>
        </w:rPr>
        <w:t>.</w:t>
      </w:r>
    </w:p>
    <w:p w14:paraId="04597D29" w14:textId="77777777" w:rsidR="00B73C66" w:rsidRDefault="00B73C66" w:rsidP="004E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232DA9" w14:textId="77777777" w:rsidR="00C1713E" w:rsidRDefault="00B73C66" w:rsidP="004E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Consell de Ministres de 6 d’octubre de 2020 va acordar sol·licitar al Congrés dels Diputats l’apreciació de la situació d’emergència extraordinària previst a l’article 135.4 de la Constitució, que comporta la suspensió de les regles fiscals per als exercicis de 2020 i 2021. </w:t>
      </w:r>
    </w:p>
    <w:p w14:paraId="789BAD31" w14:textId="77777777" w:rsidR="000A3E9F" w:rsidRDefault="000A3E9F" w:rsidP="004E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503A4C" w14:textId="77777777" w:rsidR="000A3E9F" w:rsidRDefault="000A3E9F" w:rsidP="000A3E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Consell de Ministres de 27 de juliol de 2021 va acordar sol·licitar al Congrés dels Diputats l’apreciació de la situació d’emergència extraordinària previst a l’article 135.4 de la Constitució, que comporta la prorroga de la suspensió de les regles fiscals per a l’ exercici 2022. </w:t>
      </w:r>
    </w:p>
    <w:p w14:paraId="2EF489F1" w14:textId="77777777" w:rsidR="0001787E" w:rsidRDefault="0001787E" w:rsidP="000A3E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795560" w14:textId="4D036D76" w:rsidR="0001787E" w:rsidRDefault="0001787E" w:rsidP="000178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El Consell de Ministres de 26 de juliol de 2022 va acordar sol·licitar al Congrés dels Diputats l’apreciació de la situació d’emergència extraordinària previst a l’article 135.4 de la Constitució, que comporta la prorroga de la suspensió de les regles fiscals per a l’ exercici 2022. </w:t>
      </w:r>
    </w:p>
    <w:p w14:paraId="2BD93513" w14:textId="77777777" w:rsidR="0006082A" w:rsidRDefault="0006082A" w:rsidP="004E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5EDF9" w14:textId="77777777" w:rsidR="00C1713E" w:rsidRDefault="00B73C66" w:rsidP="004E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D’acord amb aquest article</w:t>
      </w:r>
      <w:r w:rsidR="00C1713E">
        <w:rPr>
          <w:rFonts w:ascii="Arial" w:hAnsi="Arial" w:cs="Arial"/>
          <w:sz w:val="22"/>
          <w:szCs w:val="22"/>
        </w:rPr>
        <w:t xml:space="preserve"> 135.4</w:t>
      </w:r>
      <w:r>
        <w:rPr>
          <w:rFonts w:ascii="Arial" w:hAnsi="Arial" w:cs="Arial"/>
          <w:sz w:val="22"/>
          <w:szCs w:val="22"/>
        </w:rPr>
        <w:t>, els límits de dèficit estructural i de volum de deute públic només podran superar-se en cas de catàstrofes naturals, recessió econòmica o situacions d’emergència extraordinària que escapin al control de l’estat i perjudiquin considerablement la situació financera o la sostenibilitat econòmica o social de l’Estat, apreciades per la majoria absoluta dels membres del Congrés dels Diputats</w:t>
      </w:r>
      <w:r w:rsidR="00C1713E">
        <w:rPr>
          <w:rFonts w:ascii="Arial" w:hAnsi="Arial" w:cs="Arial"/>
          <w:sz w:val="22"/>
          <w:szCs w:val="22"/>
        </w:rPr>
        <w:t>.</w:t>
      </w:r>
    </w:p>
    <w:p w14:paraId="18173BA8" w14:textId="77777777" w:rsidR="000A3E9F" w:rsidRDefault="000A3E9F" w:rsidP="004E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585979" w14:textId="620F78CA" w:rsidR="00B73C66" w:rsidRDefault="00C1713E" w:rsidP="004E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Congrés dels Diputats, </w:t>
      </w:r>
      <w:r w:rsidR="00B73C66">
        <w:rPr>
          <w:rFonts w:ascii="Arial" w:hAnsi="Arial" w:cs="Arial"/>
          <w:sz w:val="22"/>
          <w:szCs w:val="22"/>
        </w:rPr>
        <w:t>en el ple de 20 d’octubre de 2020</w:t>
      </w:r>
      <w:r w:rsidR="0001787E">
        <w:rPr>
          <w:rFonts w:ascii="Arial" w:hAnsi="Arial" w:cs="Arial"/>
          <w:sz w:val="22"/>
          <w:szCs w:val="22"/>
        </w:rPr>
        <w:t xml:space="preserve">, </w:t>
      </w:r>
      <w:r w:rsidR="000A3E9F">
        <w:rPr>
          <w:rFonts w:ascii="Arial" w:hAnsi="Arial" w:cs="Arial"/>
          <w:sz w:val="22"/>
          <w:szCs w:val="22"/>
        </w:rPr>
        <w:t xml:space="preserve">en el Ple de 13 </w:t>
      </w:r>
      <w:r w:rsidR="008F05BC">
        <w:rPr>
          <w:rFonts w:ascii="Arial" w:hAnsi="Arial" w:cs="Arial"/>
          <w:sz w:val="22"/>
          <w:szCs w:val="22"/>
        </w:rPr>
        <w:t xml:space="preserve">de </w:t>
      </w:r>
      <w:r w:rsidR="000A3E9F">
        <w:rPr>
          <w:rFonts w:ascii="Arial" w:hAnsi="Arial" w:cs="Arial"/>
          <w:sz w:val="22"/>
          <w:szCs w:val="22"/>
        </w:rPr>
        <w:t>setembre</w:t>
      </w:r>
      <w:r w:rsidR="008F05BC">
        <w:rPr>
          <w:rFonts w:ascii="Arial" w:hAnsi="Arial" w:cs="Arial"/>
          <w:sz w:val="22"/>
          <w:szCs w:val="22"/>
        </w:rPr>
        <w:t xml:space="preserve"> de 2021</w:t>
      </w:r>
      <w:r w:rsidR="0001787E">
        <w:rPr>
          <w:rFonts w:ascii="Arial" w:hAnsi="Arial" w:cs="Arial"/>
          <w:sz w:val="22"/>
          <w:szCs w:val="22"/>
        </w:rPr>
        <w:t xml:space="preserve"> i en el Ple de 22 de setembre de 2022</w:t>
      </w:r>
      <w:r w:rsidR="00B73C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 apreciar aquesta situació </w:t>
      </w:r>
      <w:r w:rsidR="00B73C66">
        <w:rPr>
          <w:rFonts w:ascii="Arial" w:hAnsi="Arial" w:cs="Arial"/>
          <w:sz w:val="22"/>
          <w:szCs w:val="22"/>
        </w:rPr>
        <w:t>i en conseqüència es va suspendre l’aplicació de les regles fiscals</w:t>
      </w:r>
      <w:r w:rsidR="008F05BC">
        <w:rPr>
          <w:rFonts w:ascii="Arial" w:hAnsi="Arial" w:cs="Arial"/>
          <w:sz w:val="22"/>
          <w:szCs w:val="22"/>
        </w:rPr>
        <w:t xml:space="preserve"> pels exercicis 2021</w:t>
      </w:r>
      <w:r w:rsidR="0001787E">
        <w:rPr>
          <w:rFonts w:ascii="Arial" w:hAnsi="Arial" w:cs="Arial"/>
          <w:sz w:val="22"/>
          <w:szCs w:val="22"/>
        </w:rPr>
        <w:t>,2022</w:t>
      </w:r>
      <w:r w:rsidR="008F05BC">
        <w:rPr>
          <w:rFonts w:ascii="Arial" w:hAnsi="Arial" w:cs="Arial"/>
          <w:sz w:val="22"/>
          <w:szCs w:val="22"/>
        </w:rPr>
        <w:t xml:space="preserve"> i 202</w:t>
      </w:r>
      <w:r w:rsidR="0001787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i </w:t>
      </w:r>
      <w:r w:rsidR="00B73C66">
        <w:rPr>
          <w:rFonts w:ascii="Arial" w:hAnsi="Arial" w:cs="Arial"/>
          <w:sz w:val="22"/>
          <w:szCs w:val="22"/>
        </w:rPr>
        <w:t xml:space="preserve">els plans econòmics i financers </w:t>
      </w:r>
      <w:r>
        <w:rPr>
          <w:rFonts w:ascii="Arial" w:hAnsi="Arial" w:cs="Arial"/>
          <w:sz w:val="22"/>
          <w:szCs w:val="22"/>
        </w:rPr>
        <w:t xml:space="preserve">aprovats per les corporacions locals </w:t>
      </w:r>
      <w:r w:rsidR="00B73C66">
        <w:rPr>
          <w:rFonts w:ascii="Arial" w:hAnsi="Arial" w:cs="Arial"/>
          <w:sz w:val="22"/>
          <w:szCs w:val="22"/>
        </w:rPr>
        <w:t>van deixar d’estar en vigor.</w:t>
      </w:r>
    </w:p>
    <w:p w14:paraId="2E6D4EB3" w14:textId="77777777" w:rsidR="00B73C66" w:rsidRDefault="00B73C66" w:rsidP="004E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70F767" w14:textId="77777777" w:rsidR="004E7F5F" w:rsidRPr="00E90350" w:rsidRDefault="00B73C66" w:rsidP="004E7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Així doncs en aquest informe s’analitza el resultat de l’aplicació de les regles fiscals sense valorar-ne el seu compliment.</w:t>
      </w:r>
    </w:p>
    <w:p w14:paraId="32D0041C" w14:textId="77777777" w:rsidR="004E7F5F" w:rsidRPr="00E90350" w:rsidRDefault="004E7F5F">
      <w:pPr>
        <w:rPr>
          <w:rFonts w:ascii="Arial" w:hAnsi="Arial" w:cs="Arial"/>
          <w:b/>
          <w:sz w:val="22"/>
          <w:szCs w:val="22"/>
          <w:u w:val="single"/>
        </w:rPr>
      </w:pPr>
    </w:p>
    <w:p w14:paraId="713A69E8" w14:textId="77777777" w:rsidR="002960D4" w:rsidRPr="00E90350" w:rsidRDefault="002960D4">
      <w:pPr>
        <w:pStyle w:val="Ttol2"/>
        <w:rPr>
          <w:sz w:val="24"/>
          <w:szCs w:val="24"/>
          <w:u w:val="single"/>
        </w:rPr>
      </w:pPr>
      <w:bookmarkStart w:id="0" w:name="OLE_LINK1"/>
      <w:r w:rsidRPr="00E90350">
        <w:rPr>
          <w:sz w:val="24"/>
          <w:szCs w:val="24"/>
          <w:u w:val="single"/>
        </w:rPr>
        <w:t>Objectiu d’estabilitat</w:t>
      </w:r>
    </w:p>
    <w:p w14:paraId="68FDCAE9" w14:textId="77777777" w:rsidR="002960D4" w:rsidRPr="00E90350" w:rsidRDefault="002960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DF87B7" w14:textId="3592A8DB" w:rsidR="002960D4" w:rsidRPr="00E83975" w:rsidRDefault="004E7F5F" w:rsidP="00E839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els e</w:t>
      </w:r>
      <w:r w:rsidR="002960D4" w:rsidRPr="00E90350">
        <w:rPr>
          <w:rFonts w:ascii="Arial" w:hAnsi="Arial" w:cs="Arial"/>
          <w:sz w:val="22"/>
          <w:szCs w:val="22"/>
        </w:rPr>
        <w:t xml:space="preserve">ns </w:t>
      </w:r>
      <w:r>
        <w:rPr>
          <w:rFonts w:ascii="Arial" w:hAnsi="Arial" w:cs="Arial"/>
          <w:sz w:val="22"/>
          <w:szCs w:val="22"/>
        </w:rPr>
        <w:t>l</w:t>
      </w:r>
      <w:r w:rsidR="002960D4" w:rsidRPr="00E90350">
        <w:rPr>
          <w:rFonts w:ascii="Arial" w:hAnsi="Arial" w:cs="Arial"/>
          <w:sz w:val="22"/>
          <w:szCs w:val="22"/>
        </w:rPr>
        <w:t>ocals (article 11 de la LOEPSF), es compleix l´objectiu d´estabilitat pressupostària, si el conjunt dels pressupostos i estats financers  de les entitats que integren l´Administració Local, presenta equilibri o superàvit, en termes de capacitat de finançament, d´acord amb el sistema europeu de comptes ( SEC)</w:t>
      </w:r>
    </w:p>
    <w:bookmarkEnd w:id="0"/>
    <w:p w14:paraId="2F664256" w14:textId="77777777" w:rsidR="002960D4" w:rsidRPr="00E90350" w:rsidRDefault="002960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0BA255" w14:textId="77777777" w:rsidR="002960D4" w:rsidRDefault="002960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0350">
        <w:rPr>
          <w:rFonts w:ascii="Arial" w:hAnsi="Arial" w:cs="Arial"/>
          <w:sz w:val="22"/>
          <w:szCs w:val="22"/>
        </w:rPr>
        <w:t>D’acord amb les xifres de la liquidació del pressupost, la capacitat o necessitat de finançament calculada amb els criteris del SEC95, és:</w:t>
      </w:r>
    </w:p>
    <w:p w14:paraId="365F3620" w14:textId="77777777" w:rsidR="0006082A" w:rsidRDefault="000608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058"/>
        <w:gridCol w:w="2538"/>
        <w:gridCol w:w="1623"/>
      </w:tblGrid>
      <w:tr w:rsidR="0006082A" w:rsidRPr="00E67AFB" w14:paraId="6FC9FDAF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7DAC39A5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Ajustos d'ingressos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532C7A4F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6C5CFCD7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Ajustos de despeses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465CC3A2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6082A" w:rsidRPr="00E67AFB" w14:paraId="1F1D8888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331608A1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 xml:space="preserve">Recaptació 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6F55CB3F" w14:textId="2455C318" w:rsidR="0006082A" w:rsidRPr="00E67AFB" w:rsidRDefault="0011505B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-128.433,32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49632A05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Compte 413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7C4FDEA6" w14:textId="4F26A5AE" w:rsidR="0006082A" w:rsidRPr="00E67AFB" w:rsidRDefault="0011505B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-9.810,41</w:t>
            </w:r>
          </w:p>
        </w:tc>
      </w:tr>
      <w:tr w:rsidR="0006082A" w:rsidRPr="00E67AFB" w14:paraId="78DFB091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4B0B978E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PTE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16C20DBC" w14:textId="1A3AE1D1" w:rsidR="0006082A" w:rsidRPr="00E67AFB" w:rsidRDefault="0011505B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72.669,07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2D95B566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 xml:space="preserve">Interessos 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635CC432" w14:textId="2CA81DD6" w:rsidR="0006082A" w:rsidRPr="00E67AFB" w:rsidRDefault="0011505B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484,93</w:t>
            </w:r>
          </w:p>
        </w:tc>
      </w:tr>
      <w:tr w:rsidR="0006082A" w:rsidRPr="00E67AFB" w14:paraId="625D386B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388594ED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Interessos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77AF1173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123D6250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7AFB">
              <w:rPr>
                <w:rFonts w:ascii="Arial" w:hAnsi="Arial" w:cs="Arial"/>
                <w:sz w:val="22"/>
                <w:szCs w:val="22"/>
              </w:rPr>
              <w:t>Adquis</w:t>
            </w:r>
            <w:proofErr w:type="spellEnd"/>
            <w:r w:rsidRPr="00E67AF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7AFB">
              <w:rPr>
                <w:rFonts w:ascii="Arial" w:hAnsi="Arial" w:cs="Arial"/>
                <w:sz w:val="22"/>
                <w:szCs w:val="22"/>
              </w:rPr>
              <w:t>Pagam</w:t>
            </w:r>
            <w:proofErr w:type="spellEnd"/>
            <w:r w:rsidRPr="00E67A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67AFB">
              <w:rPr>
                <w:rFonts w:ascii="Arial" w:hAnsi="Arial" w:cs="Arial"/>
                <w:sz w:val="22"/>
                <w:szCs w:val="22"/>
              </w:rPr>
              <w:lastRenderedPageBreak/>
              <w:t>Aplaçat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57F16284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</w:tr>
      <w:tr w:rsidR="0006082A" w:rsidRPr="00E67AFB" w14:paraId="5A95A126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2D4A523D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Subvencions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1741C12F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509CE571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Lísings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2E1AF0D3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6082A" w:rsidRPr="00E67AFB" w14:paraId="6E23DCD2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3954081F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Compte 418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67C85484" w14:textId="4BE945C6" w:rsidR="0006082A" w:rsidRPr="00E67AFB" w:rsidRDefault="0011505B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-4.149,13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0B5F4232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Execució d'avals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607B1D67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6082A" w:rsidRPr="00E67AFB" w14:paraId="1FAFA803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70DB4D69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2835AF5B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2E94F36D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Aportacions de capital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234B6D5F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06082A" w:rsidRPr="00E67AFB" w14:paraId="10EC9227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3644B8E6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05762354" w14:textId="033348AD" w:rsidR="0006082A" w:rsidRPr="00E67AFB" w:rsidRDefault="0011505B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-59.913,38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203603D7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533E1D08" w14:textId="371801FD" w:rsidR="0006082A" w:rsidRPr="00E67AFB" w:rsidRDefault="0011505B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-9.325,48</w:t>
            </w:r>
          </w:p>
        </w:tc>
      </w:tr>
      <w:tr w:rsidR="0006082A" w:rsidRPr="00E67AFB" w14:paraId="7A004F51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5EAF9844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noWrap/>
            <w:hideMark/>
          </w:tcPr>
          <w:p w14:paraId="11714817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  <w:noWrap/>
            <w:hideMark/>
          </w:tcPr>
          <w:p w14:paraId="41E75699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62F206EB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82A" w:rsidRPr="00E67AFB" w14:paraId="6A2B0CF9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78EFD07B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noWrap/>
            <w:hideMark/>
          </w:tcPr>
          <w:p w14:paraId="231DFAD8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  <w:noWrap/>
            <w:hideMark/>
          </w:tcPr>
          <w:p w14:paraId="502CE332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6514CDE1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82A" w:rsidRPr="00E67AFB" w14:paraId="1459CD08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109D9D4D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Ingressos no financers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09A85B95" w14:textId="5EB6BCBE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1</w:t>
            </w:r>
            <w:r w:rsidR="0011505B">
              <w:rPr>
                <w:rFonts w:ascii="Arial" w:hAnsi="Arial" w:cs="Arial"/>
                <w:sz w:val="22"/>
                <w:szCs w:val="22"/>
              </w:rPr>
              <w:t>3.</w:t>
            </w:r>
            <w:r w:rsidR="00E83975">
              <w:rPr>
                <w:rFonts w:ascii="Arial" w:hAnsi="Arial" w:cs="Arial"/>
                <w:sz w:val="22"/>
                <w:szCs w:val="22"/>
              </w:rPr>
              <w:t>247.697,58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1ACE16FB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Despeses no financeres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6F546955" w14:textId="722BC18D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1</w:t>
            </w:r>
            <w:r w:rsidR="003655D0">
              <w:rPr>
                <w:rFonts w:ascii="Arial" w:hAnsi="Arial" w:cs="Arial"/>
                <w:sz w:val="22"/>
                <w:szCs w:val="22"/>
              </w:rPr>
              <w:t>2</w:t>
            </w:r>
            <w:r w:rsidR="0011505B">
              <w:rPr>
                <w:rFonts w:ascii="Arial" w:hAnsi="Arial" w:cs="Arial"/>
                <w:sz w:val="22"/>
                <w:szCs w:val="22"/>
              </w:rPr>
              <w:t>.546.180,36</w:t>
            </w:r>
          </w:p>
        </w:tc>
      </w:tr>
      <w:tr w:rsidR="0006082A" w:rsidRPr="00E67AFB" w14:paraId="4AE1EC79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541B55CA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 xml:space="preserve">Ajust d'ingressos 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37B714D4" w14:textId="67CFA5F4" w:rsidR="0006082A" w:rsidRPr="00E67AFB" w:rsidRDefault="0011505B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-59.913,38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05A6D8D1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Ajust de despeses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6CD88E8F" w14:textId="0FA771E9" w:rsidR="0006082A" w:rsidRPr="00E67AFB" w:rsidRDefault="0011505B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-9.325,48</w:t>
            </w:r>
          </w:p>
        </w:tc>
      </w:tr>
      <w:tr w:rsidR="0006082A" w:rsidRPr="00E67AFB" w14:paraId="0D8EB20C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5839C6C8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Ingressos ajustats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3B8BC4EB" w14:textId="0A78DFDE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1505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="00E83975">
              <w:rPr>
                <w:rFonts w:ascii="Arial" w:hAnsi="Arial" w:cs="Arial"/>
                <w:b/>
                <w:bCs/>
                <w:sz w:val="22"/>
                <w:szCs w:val="22"/>
              </w:rPr>
              <w:t>187.784,20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7C0E322D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Despeses ajustades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14:paraId="47A7DB23" w14:textId="5A2FA973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655D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1505B">
              <w:rPr>
                <w:rFonts w:ascii="Arial" w:hAnsi="Arial" w:cs="Arial"/>
                <w:b/>
                <w:bCs/>
                <w:sz w:val="22"/>
                <w:szCs w:val="22"/>
              </w:rPr>
              <w:t>.536.854,88</w:t>
            </w:r>
          </w:p>
        </w:tc>
      </w:tr>
      <w:tr w:rsidR="0006082A" w:rsidRPr="00E67AFB" w14:paraId="35E9F25E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36513227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noWrap/>
            <w:hideMark/>
          </w:tcPr>
          <w:p w14:paraId="63FDDA0F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  <w:noWrap/>
            <w:hideMark/>
          </w:tcPr>
          <w:p w14:paraId="1CA34DC3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3FEB034A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82A" w:rsidRPr="00E67AFB" w14:paraId="43967AF0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6B03DABC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Superàvit no financer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0DEB4F4B" w14:textId="55BDE890" w:rsidR="0006082A" w:rsidRPr="00E67AFB" w:rsidRDefault="00E83975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701.517,22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174DA06E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18104792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82A" w:rsidRPr="00E67AFB" w14:paraId="3DEC43BA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7EF72D4A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Ajustos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6B91637F" w14:textId="248544EC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FB">
              <w:rPr>
                <w:rFonts w:ascii="Arial" w:hAnsi="Arial" w:cs="Arial"/>
                <w:sz w:val="22"/>
                <w:szCs w:val="22"/>
              </w:rPr>
              <w:t>-</w:t>
            </w:r>
            <w:r w:rsidR="0011505B">
              <w:rPr>
                <w:rFonts w:ascii="Arial" w:hAnsi="Arial" w:cs="Arial"/>
                <w:sz w:val="22"/>
                <w:szCs w:val="22"/>
              </w:rPr>
              <w:t>50.587,90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43A2E377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5AFD2E76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82A" w:rsidRPr="00E67AFB" w14:paraId="35E8714E" w14:textId="77777777" w:rsidTr="00773367">
        <w:trPr>
          <w:trHeight w:val="255"/>
        </w:trPr>
        <w:tc>
          <w:tcPr>
            <w:tcW w:w="3040" w:type="dxa"/>
            <w:shd w:val="clear" w:color="auto" w:fill="auto"/>
            <w:noWrap/>
            <w:hideMark/>
          </w:tcPr>
          <w:p w14:paraId="2BEF0EC3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FB">
              <w:rPr>
                <w:rFonts w:ascii="Arial" w:hAnsi="Arial" w:cs="Arial"/>
                <w:b/>
                <w:bCs/>
                <w:sz w:val="22"/>
                <w:szCs w:val="22"/>
              </w:rPr>
              <w:t>Capacitat de finançament</w:t>
            </w:r>
          </w:p>
        </w:tc>
        <w:tc>
          <w:tcPr>
            <w:tcW w:w="2058" w:type="dxa"/>
            <w:shd w:val="clear" w:color="auto" w:fill="auto"/>
            <w:noWrap/>
            <w:hideMark/>
          </w:tcPr>
          <w:p w14:paraId="0D1620AA" w14:textId="4D544973" w:rsidR="0006082A" w:rsidRPr="00E67AFB" w:rsidRDefault="00E83975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650.928,32</w:t>
            </w:r>
          </w:p>
        </w:tc>
        <w:tc>
          <w:tcPr>
            <w:tcW w:w="2538" w:type="dxa"/>
            <w:shd w:val="clear" w:color="auto" w:fill="auto"/>
            <w:noWrap/>
            <w:hideMark/>
          </w:tcPr>
          <w:p w14:paraId="24EFDAB9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14:paraId="20A6B131" w14:textId="77777777" w:rsidR="0006082A" w:rsidRPr="00E67AFB" w:rsidRDefault="0006082A" w:rsidP="00E67A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4F8245" w14:textId="77777777" w:rsidR="002960D4" w:rsidRPr="00E90350" w:rsidRDefault="002960D4">
      <w:pPr>
        <w:rPr>
          <w:rFonts w:ascii="Arial" w:hAnsi="Arial" w:cs="Arial"/>
          <w:sz w:val="22"/>
          <w:szCs w:val="22"/>
        </w:rPr>
      </w:pPr>
    </w:p>
    <w:p w14:paraId="52456F1A" w14:textId="77777777" w:rsidR="002960D4" w:rsidRPr="00E90350" w:rsidRDefault="002960D4">
      <w:pPr>
        <w:pStyle w:val="Ttol2"/>
        <w:rPr>
          <w:sz w:val="24"/>
          <w:szCs w:val="24"/>
          <w:u w:val="single"/>
        </w:rPr>
      </w:pPr>
      <w:r w:rsidRPr="00E90350">
        <w:rPr>
          <w:sz w:val="24"/>
          <w:szCs w:val="24"/>
          <w:u w:val="single"/>
        </w:rPr>
        <w:t xml:space="preserve">Regla de la despesa </w:t>
      </w:r>
    </w:p>
    <w:p w14:paraId="4CC410B6" w14:textId="77777777" w:rsidR="002960D4" w:rsidRPr="00E90350" w:rsidRDefault="002960D4">
      <w:pPr>
        <w:rPr>
          <w:sz w:val="22"/>
          <w:szCs w:val="22"/>
        </w:rPr>
      </w:pPr>
    </w:p>
    <w:p w14:paraId="18C1EEE9" w14:textId="77777777" w:rsidR="00CC5F34" w:rsidRDefault="00CC5F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F71D7C" w14:textId="48885CF7" w:rsidR="009779B7" w:rsidRPr="009779B7" w:rsidRDefault="009779B7" w:rsidP="00977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Suspensió de les regles fiscals previstes a la Llei orgànica 2/2012, de 27 d’abril, d’estabilitat pressupostària i sostenibilitat financera (objectiu d’estabilitat pressupostària i regla de la despesa) per als exercicis de 2021</w:t>
      </w:r>
      <w:r w:rsidR="0079528C">
        <w:rPr>
          <w:rFonts w:ascii="Arial" w:hAnsi="Arial" w:cs="Arial"/>
          <w:sz w:val="22"/>
          <w:szCs w:val="22"/>
        </w:rPr>
        <w:t>-</w:t>
      </w:r>
      <w:r w:rsidRPr="009779B7">
        <w:rPr>
          <w:rFonts w:ascii="Arial" w:hAnsi="Arial" w:cs="Arial"/>
          <w:sz w:val="22"/>
          <w:szCs w:val="22"/>
        </w:rPr>
        <w:t>202</w:t>
      </w:r>
      <w:r w:rsidR="0079528C">
        <w:rPr>
          <w:rFonts w:ascii="Arial" w:hAnsi="Arial" w:cs="Arial"/>
          <w:sz w:val="22"/>
          <w:szCs w:val="22"/>
        </w:rPr>
        <w:t>3</w:t>
      </w:r>
      <w:r w:rsidR="0006082A">
        <w:rPr>
          <w:rFonts w:ascii="Arial" w:hAnsi="Arial" w:cs="Arial"/>
          <w:sz w:val="22"/>
          <w:szCs w:val="22"/>
        </w:rPr>
        <w:t>.</w:t>
      </w:r>
    </w:p>
    <w:p w14:paraId="3D330AC5" w14:textId="77777777" w:rsidR="009779B7" w:rsidRPr="009779B7" w:rsidRDefault="009779B7" w:rsidP="00977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30F08B" w14:textId="6036E76F" w:rsidR="009779B7" w:rsidRPr="009779B7" w:rsidRDefault="009779B7" w:rsidP="00977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 xml:space="preserve">El Consell de Ministres de 6 d’octubre de 2021 va acordar sol·licitar al Congrés dels Diputats l’apreciació de la situació d’emergència extraordinària prevista </w:t>
      </w:r>
      <w:r w:rsidR="0006082A">
        <w:rPr>
          <w:rFonts w:ascii="Arial" w:hAnsi="Arial" w:cs="Arial"/>
          <w:sz w:val="22"/>
          <w:szCs w:val="22"/>
        </w:rPr>
        <w:t>en</w:t>
      </w:r>
      <w:r w:rsidRPr="009779B7">
        <w:rPr>
          <w:rFonts w:ascii="Arial" w:hAnsi="Arial" w:cs="Arial"/>
          <w:sz w:val="22"/>
          <w:szCs w:val="22"/>
        </w:rPr>
        <w:t xml:space="preserve"> l’article 135.4 de la Constitució, que comporta la suspensió de les regles fiscals per a</w:t>
      </w:r>
      <w:r w:rsidR="000A3E9F">
        <w:rPr>
          <w:rFonts w:ascii="Arial" w:hAnsi="Arial" w:cs="Arial"/>
          <w:sz w:val="22"/>
          <w:szCs w:val="22"/>
        </w:rPr>
        <w:t xml:space="preserve"> l’</w:t>
      </w:r>
      <w:r w:rsidRPr="009779B7">
        <w:rPr>
          <w:rFonts w:ascii="Arial" w:hAnsi="Arial" w:cs="Arial"/>
          <w:sz w:val="22"/>
          <w:szCs w:val="22"/>
        </w:rPr>
        <w:t xml:space="preserve"> exercici  2021</w:t>
      </w:r>
      <w:r w:rsidR="000A3E9F">
        <w:rPr>
          <w:rFonts w:ascii="Arial" w:hAnsi="Arial" w:cs="Arial"/>
          <w:sz w:val="22"/>
          <w:szCs w:val="22"/>
        </w:rPr>
        <w:t xml:space="preserve"> </w:t>
      </w:r>
      <w:r w:rsidR="0079528C">
        <w:rPr>
          <w:rFonts w:ascii="Arial" w:hAnsi="Arial" w:cs="Arial"/>
          <w:sz w:val="22"/>
          <w:szCs w:val="22"/>
        </w:rPr>
        <w:t xml:space="preserve">, </w:t>
      </w:r>
      <w:r w:rsidR="000A3E9F">
        <w:rPr>
          <w:rFonts w:ascii="Arial" w:hAnsi="Arial" w:cs="Arial"/>
          <w:sz w:val="22"/>
          <w:szCs w:val="22"/>
        </w:rPr>
        <w:t>el 13 de setembre de 2021</w:t>
      </w:r>
      <w:r w:rsidRPr="009779B7">
        <w:rPr>
          <w:rFonts w:ascii="Arial" w:hAnsi="Arial" w:cs="Arial"/>
          <w:sz w:val="22"/>
          <w:szCs w:val="22"/>
        </w:rPr>
        <w:t xml:space="preserve"> </w:t>
      </w:r>
      <w:r w:rsidR="000A3E9F">
        <w:rPr>
          <w:rFonts w:ascii="Arial" w:hAnsi="Arial" w:cs="Arial"/>
          <w:sz w:val="22"/>
          <w:szCs w:val="22"/>
        </w:rPr>
        <w:t xml:space="preserve">per l’ exercici </w:t>
      </w:r>
      <w:r w:rsidRPr="009779B7">
        <w:rPr>
          <w:rFonts w:ascii="Arial" w:hAnsi="Arial" w:cs="Arial"/>
          <w:sz w:val="22"/>
          <w:szCs w:val="22"/>
        </w:rPr>
        <w:t>202</w:t>
      </w:r>
      <w:r w:rsidR="00225A8D">
        <w:rPr>
          <w:rFonts w:ascii="Arial" w:hAnsi="Arial" w:cs="Arial"/>
          <w:sz w:val="22"/>
          <w:szCs w:val="22"/>
        </w:rPr>
        <w:t>2</w:t>
      </w:r>
      <w:r w:rsidR="0079528C">
        <w:rPr>
          <w:rFonts w:ascii="Arial" w:hAnsi="Arial" w:cs="Arial"/>
          <w:sz w:val="22"/>
          <w:szCs w:val="22"/>
        </w:rPr>
        <w:t xml:space="preserve"> i el 26 de juliol de 2022 pel 2023</w:t>
      </w:r>
      <w:r w:rsidRPr="009779B7">
        <w:rPr>
          <w:rFonts w:ascii="Arial" w:hAnsi="Arial" w:cs="Arial"/>
          <w:sz w:val="22"/>
          <w:szCs w:val="22"/>
        </w:rPr>
        <w:t>. D’acord amb aquest article, els límits de dèficit estructural i de volum de deute públic només podran superar-se en cas de catàstrofes naturals, recessió econòmica o situacions d'emergència extraordinària que escapin al control de l'Estat i perjudiquin considerablement la situació financera o la sostenibilitat econòmica o social de l'Estat, apreciades per la majoria absoluta dels membres del Congrés dels Diputats.</w:t>
      </w:r>
    </w:p>
    <w:p w14:paraId="7289018C" w14:textId="77777777" w:rsidR="009779B7" w:rsidRPr="009779B7" w:rsidRDefault="009779B7" w:rsidP="00977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0D5E22" w14:textId="60ECB12D" w:rsidR="009779B7" w:rsidRPr="009779B7" w:rsidRDefault="009779B7" w:rsidP="00977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 xml:space="preserve">El Congrés dels Diputats va apreciar aquesta situació per majoria absoluta dels seus membres en el Ple de </w:t>
      </w:r>
      <w:r w:rsidR="0079528C">
        <w:rPr>
          <w:rFonts w:ascii="Arial" w:hAnsi="Arial" w:cs="Arial"/>
          <w:sz w:val="22"/>
          <w:szCs w:val="22"/>
        </w:rPr>
        <w:t>22</w:t>
      </w:r>
      <w:r w:rsidR="00640153">
        <w:rPr>
          <w:rFonts w:ascii="Arial" w:hAnsi="Arial" w:cs="Arial"/>
          <w:sz w:val="22"/>
          <w:szCs w:val="22"/>
        </w:rPr>
        <w:t xml:space="preserve"> de setembre</w:t>
      </w:r>
      <w:r w:rsidRPr="009779B7">
        <w:rPr>
          <w:rFonts w:ascii="Arial" w:hAnsi="Arial" w:cs="Arial"/>
          <w:sz w:val="22"/>
          <w:szCs w:val="22"/>
        </w:rPr>
        <w:t xml:space="preserve"> de 202</w:t>
      </w:r>
      <w:r w:rsidR="0079528C">
        <w:rPr>
          <w:rFonts w:ascii="Arial" w:hAnsi="Arial" w:cs="Arial"/>
          <w:sz w:val="22"/>
          <w:szCs w:val="22"/>
        </w:rPr>
        <w:t>2</w:t>
      </w:r>
      <w:r w:rsidRPr="009779B7">
        <w:rPr>
          <w:rFonts w:ascii="Arial" w:hAnsi="Arial" w:cs="Arial"/>
          <w:sz w:val="22"/>
          <w:szCs w:val="22"/>
        </w:rPr>
        <w:t>.</w:t>
      </w:r>
    </w:p>
    <w:p w14:paraId="54E10502" w14:textId="77777777" w:rsidR="009779B7" w:rsidRPr="009779B7" w:rsidRDefault="009779B7" w:rsidP="00977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8A0294" w14:textId="54854D96" w:rsidR="009779B7" w:rsidRPr="009779B7" w:rsidRDefault="009779B7" w:rsidP="009779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lastRenderedPageBreak/>
        <w:t>En el text de la referència preveu que, com a conseqüència de la suspensió de les regles fiscals, les entitats locals podran fer ús dels seus romanents i contribuir així a la recuperació econòmica i social. No obstant això, aquesta Direcció General recomana destinar el romanent de tresoreria per a despeses generals al finançament de despeses de caràcter no recurrent (inversió o despesa corrent no recurrent) atès que el romanent és un recurs no recurrent. Amb caràcter previ, cal tenir en compte els criteris generals d’utilització del romanent de tresoreria per a despeses generals de signe positiu que es detallen a l’apartat 13 d’aquesta nota informativa (sanejament de les obligacions i devolucions d’ingressos pendents d’aplicar al pressupost, compliment dels compromisos de despesa assumits per l’existència de romanents de crèdit incorporables i compliment del termini legal de pagament a proveïdors).</w:t>
      </w:r>
    </w:p>
    <w:p w14:paraId="6491D456" w14:textId="77777777" w:rsidR="002960D4" w:rsidRPr="00E90350" w:rsidRDefault="002960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8BC8A6" w14:textId="77777777" w:rsidR="00A42C47" w:rsidRDefault="002960D4">
      <w:pPr>
        <w:pStyle w:val="NormalWeb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0350">
        <w:rPr>
          <w:rFonts w:ascii="Arial" w:hAnsi="Arial" w:cs="Arial"/>
          <w:sz w:val="22"/>
          <w:szCs w:val="22"/>
        </w:rPr>
        <w:t>La Base de la regla de la despesa queda definida al punt 2 de l’article 12 “</w:t>
      </w:r>
      <w:r w:rsidRPr="00E90350">
        <w:rPr>
          <w:rFonts w:ascii="Arial" w:hAnsi="Arial" w:cs="Arial"/>
          <w:i/>
          <w:sz w:val="22"/>
          <w:szCs w:val="22"/>
        </w:rPr>
        <w:t>S’entén per despesa computable als efectes que preveu l’apartat anterior, la despesa no financera, definida en termes del Sistema Europeu de Comptes Nacionals i Regionals, exclosos els interessos del deute, la despesa no discrecional en prestacions per desocupació, la part de la despesa finançada amb fons finalistes procedents de la Unió Europea o d’altres administracions públiques i les transferències a les comunitats autònomes i a les corporacions locals vinculades als sistemes de finançament.”</w:t>
      </w:r>
    </w:p>
    <w:p w14:paraId="129D673E" w14:textId="4E1D76B0" w:rsidR="00225A8D" w:rsidRDefault="00225A8D">
      <w:pPr>
        <w:pStyle w:val="NormalWeb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 es calcula doncs la regla de despesa de l’ exercici 202</w:t>
      </w:r>
      <w:r w:rsidR="0079528C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 xml:space="preserve"> al estar suspès el seu compliment durant l’ exercici 202</w:t>
      </w:r>
      <w:r w:rsidR="0079528C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.</w:t>
      </w:r>
    </w:p>
    <w:p w14:paraId="3B8E6E52" w14:textId="77777777" w:rsidR="002960D4" w:rsidRPr="00E90350" w:rsidRDefault="002960D4">
      <w:pPr>
        <w:pStyle w:val="Ttol2"/>
        <w:rPr>
          <w:sz w:val="24"/>
          <w:szCs w:val="24"/>
          <w:u w:val="single"/>
        </w:rPr>
      </w:pPr>
      <w:bookmarkStart w:id="1" w:name="OLE_LINK2"/>
      <w:r w:rsidRPr="00E90350">
        <w:rPr>
          <w:sz w:val="24"/>
          <w:szCs w:val="24"/>
          <w:u w:val="single"/>
        </w:rPr>
        <w:t>Objectiu de deute</w:t>
      </w:r>
    </w:p>
    <w:bookmarkEnd w:id="1"/>
    <w:p w14:paraId="622B0D7D" w14:textId="77777777" w:rsidR="002960D4" w:rsidRPr="00E90350" w:rsidRDefault="002960D4">
      <w:pPr>
        <w:rPr>
          <w:sz w:val="22"/>
          <w:szCs w:val="22"/>
        </w:rPr>
      </w:pPr>
    </w:p>
    <w:p w14:paraId="28B15C1D" w14:textId="77777777" w:rsidR="002960D4" w:rsidRPr="00E90350" w:rsidRDefault="002960D4">
      <w:pPr>
        <w:autoSpaceDE w:val="0"/>
        <w:autoSpaceDN w:val="0"/>
        <w:adjustRightInd w:val="0"/>
        <w:spacing w:line="360" w:lineRule="auto"/>
        <w:jc w:val="both"/>
        <w:rPr>
          <w:rStyle w:val="hps"/>
          <w:rFonts w:ascii="Arial" w:hAnsi="Arial" w:cs="Arial"/>
          <w:sz w:val="22"/>
          <w:szCs w:val="22"/>
        </w:rPr>
      </w:pPr>
      <w:r w:rsidRPr="00E90350">
        <w:rPr>
          <w:rStyle w:val="hps"/>
          <w:rFonts w:ascii="Arial" w:hAnsi="Arial" w:cs="Arial"/>
          <w:sz w:val="22"/>
          <w:szCs w:val="22"/>
        </w:rPr>
        <w:t xml:space="preserve">La </w:t>
      </w:r>
      <w:r w:rsidRPr="00E90350">
        <w:rPr>
          <w:rFonts w:ascii="Arial" w:hAnsi="Arial" w:cs="Arial"/>
          <w:sz w:val="22"/>
          <w:szCs w:val="22"/>
        </w:rPr>
        <w:t>LOEPSF</w:t>
      </w:r>
      <w:r w:rsidRPr="00E90350">
        <w:rPr>
          <w:rStyle w:val="hps"/>
          <w:rFonts w:ascii="Arial" w:hAnsi="Arial" w:cs="Arial"/>
          <w:sz w:val="22"/>
          <w:szCs w:val="22"/>
        </w:rPr>
        <w:t xml:space="preserve">, determina els límits d’endeutament de les administracions locals. </w:t>
      </w:r>
    </w:p>
    <w:p w14:paraId="372786FF" w14:textId="77777777" w:rsidR="002960D4" w:rsidRPr="00E90350" w:rsidRDefault="002960D4">
      <w:pPr>
        <w:autoSpaceDE w:val="0"/>
        <w:autoSpaceDN w:val="0"/>
        <w:adjustRightInd w:val="0"/>
        <w:spacing w:line="360" w:lineRule="auto"/>
        <w:jc w:val="both"/>
        <w:rPr>
          <w:rStyle w:val="hps"/>
          <w:rFonts w:ascii="Arial" w:hAnsi="Arial" w:cs="Arial"/>
          <w:sz w:val="22"/>
          <w:szCs w:val="22"/>
        </w:rPr>
      </w:pPr>
    </w:p>
    <w:p w14:paraId="0272C2E7" w14:textId="77777777" w:rsidR="002960D4" w:rsidRPr="00E90350" w:rsidRDefault="002960D4">
      <w:pPr>
        <w:autoSpaceDE w:val="0"/>
        <w:autoSpaceDN w:val="0"/>
        <w:adjustRightInd w:val="0"/>
        <w:spacing w:line="360" w:lineRule="auto"/>
        <w:jc w:val="both"/>
        <w:rPr>
          <w:rStyle w:val="hps"/>
          <w:rFonts w:ascii="Arial" w:hAnsi="Arial" w:cs="Arial"/>
          <w:sz w:val="22"/>
          <w:szCs w:val="22"/>
        </w:rPr>
      </w:pPr>
      <w:r w:rsidRPr="00E90350">
        <w:rPr>
          <w:rStyle w:val="hps"/>
          <w:rFonts w:ascii="Arial" w:hAnsi="Arial" w:cs="Arial"/>
          <w:sz w:val="22"/>
          <w:szCs w:val="22"/>
        </w:rPr>
        <w:t>Així en el seu article 13 indica que:</w:t>
      </w:r>
    </w:p>
    <w:p w14:paraId="07ABB85E" w14:textId="77777777" w:rsidR="002960D4" w:rsidRPr="00E90350" w:rsidRDefault="002960D4">
      <w:pPr>
        <w:pStyle w:val="NormalWeb"/>
        <w:spacing w:line="360" w:lineRule="auto"/>
        <w:jc w:val="both"/>
        <w:rPr>
          <w:rStyle w:val="hps"/>
          <w:rFonts w:ascii="Arial" w:hAnsi="Arial" w:cs="Arial"/>
          <w:i/>
          <w:sz w:val="22"/>
          <w:szCs w:val="22"/>
        </w:rPr>
      </w:pPr>
      <w:r w:rsidRPr="00E90350">
        <w:rPr>
          <w:rFonts w:ascii="Arial" w:hAnsi="Arial" w:cs="Arial"/>
          <w:i/>
          <w:iCs/>
          <w:sz w:val="22"/>
          <w:szCs w:val="22"/>
        </w:rPr>
        <w:t xml:space="preserve">“1. </w:t>
      </w:r>
      <w:r w:rsidRPr="00E90350">
        <w:rPr>
          <w:rStyle w:val="hps"/>
          <w:rFonts w:ascii="Arial" w:hAnsi="Arial" w:cs="Arial"/>
          <w:i/>
          <w:sz w:val="22"/>
          <w:szCs w:val="22"/>
        </w:rPr>
        <w:t>El volum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de deute públic</w:t>
      </w:r>
      <w:r w:rsidRPr="00E90350">
        <w:rPr>
          <w:rFonts w:ascii="Arial" w:hAnsi="Arial" w:cs="Arial"/>
          <w:i/>
          <w:sz w:val="22"/>
          <w:szCs w:val="22"/>
        </w:rPr>
        <w:t xml:space="preserve">, </w:t>
      </w:r>
      <w:r w:rsidRPr="00E90350">
        <w:rPr>
          <w:rStyle w:val="hps"/>
          <w:rFonts w:ascii="Arial" w:hAnsi="Arial" w:cs="Arial"/>
          <w:i/>
          <w:sz w:val="22"/>
          <w:szCs w:val="22"/>
        </w:rPr>
        <w:t>definida d’acord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amb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el Protocol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sobre  procediment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de dèficit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excessiu</w:t>
      </w:r>
      <w:r w:rsidRPr="00E90350">
        <w:rPr>
          <w:rFonts w:ascii="Arial" w:hAnsi="Arial" w:cs="Arial"/>
          <w:i/>
          <w:sz w:val="22"/>
          <w:szCs w:val="22"/>
        </w:rPr>
        <w:t xml:space="preserve">, </w:t>
      </w:r>
      <w:r w:rsidRPr="00E90350">
        <w:rPr>
          <w:rStyle w:val="hps"/>
          <w:rFonts w:ascii="Arial" w:hAnsi="Arial" w:cs="Arial"/>
          <w:i/>
          <w:sz w:val="22"/>
          <w:szCs w:val="22"/>
        </w:rPr>
        <w:t>del conjunt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d’administracions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Públiques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no podrà superar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el 60% del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producte interior brut nacional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expressat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en termes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nominals</w:t>
      </w:r>
      <w:r w:rsidRPr="00E90350">
        <w:rPr>
          <w:rFonts w:ascii="Arial" w:hAnsi="Arial" w:cs="Arial"/>
          <w:i/>
          <w:sz w:val="22"/>
          <w:szCs w:val="22"/>
        </w:rPr>
        <w:t xml:space="preserve">, </w:t>
      </w:r>
      <w:r w:rsidRPr="00E90350">
        <w:rPr>
          <w:rStyle w:val="hps"/>
          <w:rFonts w:ascii="Arial" w:hAnsi="Arial" w:cs="Arial"/>
          <w:i/>
          <w:sz w:val="22"/>
          <w:szCs w:val="22"/>
        </w:rPr>
        <w:t>o el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que s’estableixi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per la normativa europea</w:t>
      </w:r>
      <w:r w:rsidRPr="00E90350">
        <w:rPr>
          <w:rFonts w:ascii="Arial" w:hAnsi="Arial" w:cs="Arial"/>
          <w:i/>
          <w:sz w:val="22"/>
          <w:szCs w:val="22"/>
        </w:rPr>
        <w:t xml:space="preserve">. </w:t>
      </w:r>
      <w:r w:rsidRPr="00E90350">
        <w:rPr>
          <w:rStyle w:val="hps"/>
          <w:rFonts w:ascii="Arial" w:hAnsi="Arial" w:cs="Arial"/>
          <w:i/>
          <w:sz w:val="22"/>
          <w:szCs w:val="22"/>
        </w:rPr>
        <w:t>Aquest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límit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es distribuirà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d’acord amb els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següents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percentatges</w:t>
      </w:r>
      <w:r w:rsidRPr="00E90350">
        <w:rPr>
          <w:rFonts w:ascii="Arial" w:hAnsi="Arial" w:cs="Arial"/>
          <w:i/>
          <w:sz w:val="22"/>
          <w:szCs w:val="22"/>
        </w:rPr>
        <w:t xml:space="preserve">, </w:t>
      </w:r>
      <w:r w:rsidRPr="00E90350">
        <w:rPr>
          <w:rStyle w:val="hps"/>
          <w:rFonts w:ascii="Arial" w:hAnsi="Arial" w:cs="Arial"/>
          <w:i/>
          <w:sz w:val="22"/>
          <w:szCs w:val="22"/>
        </w:rPr>
        <w:t>expressats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en termes</w:t>
      </w:r>
      <w:r w:rsidRPr="00E90350">
        <w:rPr>
          <w:rFonts w:ascii="Arial" w:hAnsi="Arial" w:cs="Arial"/>
          <w:i/>
          <w:sz w:val="22"/>
          <w:szCs w:val="22"/>
        </w:rPr>
        <w:t xml:space="preserve"> n</w:t>
      </w:r>
      <w:r w:rsidRPr="00E90350">
        <w:rPr>
          <w:rStyle w:val="hps"/>
          <w:rFonts w:ascii="Arial" w:hAnsi="Arial" w:cs="Arial"/>
          <w:i/>
          <w:sz w:val="22"/>
          <w:szCs w:val="22"/>
        </w:rPr>
        <w:t>ominals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del producte interior brut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nacional</w:t>
      </w:r>
      <w:r w:rsidRPr="00E90350">
        <w:rPr>
          <w:rFonts w:ascii="Arial" w:hAnsi="Arial" w:cs="Arial"/>
          <w:i/>
          <w:sz w:val="22"/>
          <w:szCs w:val="22"/>
        </w:rPr>
        <w:t xml:space="preserve">: 72,60% per </w:t>
      </w:r>
      <w:r w:rsidRPr="00E90350">
        <w:rPr>
          <w:rStyle w:val="hps"/>
          <w:rFonts w:ascii="Arial" w:hAnsi="Arial" w:cs="Arial"/>
          <w:i/>
          <w:sz w:val="22"/>
          <w:szCs w:val="22"/>
        </w:rPr>
        <w:t>l’administració central</w:t>
      </w:r>
      <w:r w:rsidRPr="00E90350">
        <w:rPr>
          <w:rFonts w:ascii="Arial" w:hAnsi="Arial" w:cs="Arial"/>
          <w:i/>
          <w:sz w:val="22"/>
          <w:szCs w:val="22"/>
        </w:rPr>
        <w:t xml:space="preserve"> 22,5% </w:t>
      </w:r>
      <w:r w:rsidRPr="00E90350">
        <w:rPr>
          <w:rStyle w:val="hps"/>
          <w:rFonts w:ascii="Arial" w:hAnsi="Arial" w:cs="Arial"/>
          <w:i/>
          <w:sz w:val="22"/>
          <w:szCs w:val="22"/>
        </w:rPr>
        <w:t>per al conjunt de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comunitats autònomes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i 3,4%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per al conjunt de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corporacions locals...</w:t>
      </w:r>
    </w:p>
    <w:p w14:paraId="61CC9436" w14:textId="77777777" w:rsidR="002960D4" w:rsidRPr="00E90350" w:rsidRDefault="002960D4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0350">
        <w:rPr>
          <w:rStyle w:val="hps"/>
          <w:rFonts w:ascii="Arial" w:hAnsi="Arial" w:cs="Arial"/>
          <w:i/>
          <w:sz w:val="22"/>
          <w:szCs w:val="22"/>
        </w:rPr>
        <w:lastRenderedPageBreak/>
        <w:t>2.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L’administració pública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que superi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el límit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de deute públic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no podrà realitzar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operacions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d’endeutament</w:t>
      </w:r>
      <w:r w:rsidRPr="00E90350">
        <w:rPr>
          <w:rFonts w:ascii="Arial" w:hAnsi="Arial" w:cs="Arial"/>
          <w:i/>
          <w:sz w:val="22"/>
          <w:szCs w:val="22"/>
        </w:rPr>
        <w:t xml:space="preserve"> </w:t>
      </w:r>
      <w:r w:rsidRPr="00E90350">
        <w:rPr>
          <w:rStyle w:val="hps"/>
          <w:rFonts w:ascii="Arial" w:hAnsi="Arial" w:cs="Arial"/>
          <w:i/>
          <w:sz w:val="22"/>
          <w:szCs w:val="22"/>
        </w:rPr>
        <w:t>net</w:t>
      </w:r>
      <w:r w:rsidRPr="00E90350">
        <w:rPr>
          <w:rFonts w:ascii="Arial" w:hAnsi="Arial" w:cs="Arial"/>
          <w:i/>
          <w:sz w:val="22"/>
          <w:szCs w:val="22"/>
        </w:rPr>
        <w:t>.</w:t>
      </w:r>
      <w:r w:rsidRPr="00E90350">
        <w:rPr>
          <w:rFonts w:ascii="Arial" w:hAnsi="Arial" w:cs="Arial"/>
          <w:iCs/>
          <w:sz w:val="22"/>
          <w:szCs w:val="22"/>
        </w:rPr>
        <w:t>”</w:t>
      </w:r>
    </w:p>
    <w:p w14:paraId="005ED6F2" w14:textId="77777777" w:rsidR="002960D4" w:rsidRPr="00E90350" w:rsidRDefault="002960D4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90350">
        <w:rPr>
          <w:rFonts w:ascii="Arial" w:hAnsi="Arial" w:cs="Arial"/>
          <w:iCs/>
          <w:sz w:val="22"/>
          <w:szCs w:val="22"/>
        </w:rPr>
        <w:t>Donat que el límit de l’article 13 ha quedat sols definit a nivell de sector local, cal entendre que, a nivell d’entitat, és sols orientatiu i no pot comportar les obligacions previstes a l’article 21 de la llei orgànica 2/2012.</w:t>
      </w:r>
    </w:p>
    <w:p w14:paraId="5168A55B" w14:textId="453C868D" w:rsidR="002960D4" w:rsidRPr="00E90350" w:rsidRDefault="002960D4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90350">
        <w:rPr>
          <w:rFonts w:ascii="Arial" w:hAnsi="Arial" w:cs="Arial"/>
          <w:iCs/>
          <w:sz w:val="22"/>
          <w:szCs w:val="22"/>
        </w:rPr>
        <w:t>La posició a 31/12/20</w:t>
      </w:r>
      <w:r w:rsidR="000130DD">
        <w:rPr>
          <w:rFonts w:ascii="Arial" w:hAnsi="Arial" w:cs="Arial"/>
          <w:iCs/>
          <w:sz w:val="22"/>
          <w:szCs w:val="22"/>
        </w:rPr>
        <w:t>2</w:t>
      </w:r>
      <w:r w:rsidR="0001787E">
        <w:rPr>
          <w:rFonts w:ascii="Arial" w:hAnsi="Arial" w:cs="Arial"/>
          <w:iCs/>
          <w:sz w:val="22"/>
          <w:szCs w:val="22"/>
        </w:rPr>
        <w:t>3</w:t>
      </w:r>
      <w:r w:rsidRPr="00E90350">
        <w:rPr>
          <w:rFonts w:ascii="Arial" w:hAnsi="Arial" w:cs="Arial"/>
          <w:iCs/>
          <w:sz w:val="22"/>
          <w:szCs w:val="22"/>
        </w:rPr>
        <w:t xml:space="preserve"> és :</w:t>
      </w:r>
    </w:p>
    <w:tbl>
      <w:tblPr>
        <w:tblW w:w="6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5088"/>
        <w:gridCol w:w="1420"/>
      </w:tblGrid>
      <w:tr w:rsidR="00562A13" w14:paraId="20A70362" w14:textId="77777777" w:rsidTr="00562A13">
        <w:trPr>
          <w:trHeight w:val="255"/>
        </w:trPr>
        <w:tc>
          <w:tcPr>
            <w:tcW w:w="390" w:type="dxa"/>
            <w:shd w:val="clear" w:color="CCCCFF" w:fill="C0C0C0"/>
            <w:noWrap/>
            <w:vAlign w:val="bottom"/>
            <w:hideMark/>
          </w:tcPr>
          <w:p w14:paraId="369C6AAE" w14:textId="77777777" w:rsidR="00562A13" w:rsidRDefault="00562A13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8" w:type="dxa"/>
            <w:shd w:val="clear" w:color="CCCCFF" w:fill="C0C0C0"/>
            <w:noWrap/>
            <w:vAlign w:val="bottom"/>
            <w:hideMark/>
          </w:tcPr>
          <w:p w14:paraId="29B5562D" w14:textId="77777777" w:rsidR="00562A13" w:rsidRDefault="00562A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Nivell de deute viu</w:t>
            </w:r>
          </w:p>
        </w:tc>
        <w:tc>
          <w:tcPr>
            <w:tcW w:w="1420" w:type="dxa"/>
            <w:shd w:val="clear" w:color="CCCCFF" w:fill="C0C0C0"/>
            <w:noWrap/>
            <w:vAlign w:val="bottom"/>
            <w:hideMark/>
          </w:tcPr>
          <w:p w14:paraId="2CB7C255" w14:textId="77777777" w:rsidR="00562A13" w:rsidRDefault="00562A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</w:t>
            </w:r>
          </w:p>
        </w:tc>
      </w:tr>
      <w:tr w:rsidR="00562A13" w14:paraId="179D3D3D" w14:textId="77777777" w:rsidTr="00562A13">
        <w:trPr>
          <w:trHeight w:val="255"/>
        </w:trPr>
        <w:tc>
          <w:tcPr>
            <w:tcW w:w="390" w:type="dxa"/>
            <w:shd w:val="clear" w:color="EFEFEF" w:fill="FFFFFF"/>
            <w:noWrap/>
            <w:vAlign w:val="bottom"/>
            <w:hideMark/>
          </w:tcPr>
          <w:p w14:paraId="42398B89" w14:textId="77777777" w:rsidR="00562A13" w:rsidRDefault="0056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(+)</w:t>
            </w:r>
          </w:p>
        </w:tc>
        <w:tc>
          <w:tcPr>
            <w:tcW w:w="5088" w:type="dxa"/>
            <w:shd w:val="clear" w:color="EFEFEF" w:fill="FFFFFF"/>
            <w:noWrap/>
            <w:vAlign w:val="bottom"/>
            <w:hideMark/>
          </w:tcPr>
          <w:p w14:paraId="34AAE4CE" w14:textId="77777777" w:rsidR="00562A13" w:rsidRDefault="00562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Ingressos liquidats consolidats: ( Cap. 1 a 5)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B188B1B" w14:textId="64B6CDBD" w:rsidR="00562A13" w:rsidRDefault="00562A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1505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E83975">
              <w:rPr>
                <w:rFonts w:ascii="Arial" w:hAnsi="Arial" w:cs="Arial"/>
                <w:b/>
                <w:bCs/>
                <w:sz w:val="20"/>
                <w:szCs w:val="20"/>
              </w:rPr>
              <w:t>391.655,95</w:t>
            </w:r>
          </w:p>
        </w:tc>
      </w:tr>
      <w:tr w:rsidR="00562A13" w14:paraId="1497C022" w14:textId="77777777" w:rsidTr="00562A13">
        <w:trPr>
          <w:trHeight w:val="255"/>
        </w:trPr>
        <w:tc>
          <w:tcPr>
            <w:tcW w:w="390" w:type="dxa"/>
            <w:shd w:val="clear" w:color="EFEFEF" w:fill="FFFFFF"/>
            <w:noWrap/>
            <w:vAlign w:val="bottom"/>
            <w:hideMark/>
          </w:tcPr>
          <w:p w14:paraId="06430A01" w14:textId="77777777" w:rsidR="00562A13" w:rsidRDefault="0056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</w:t>
            </w:r>
          </w:p>
        </w:tc>
        <w:tc>
          <w:tcPr>
            <w:tcW w:w="5088" w:type="dxa"/>
            <w:shd w:val="clear" w:color="EFEFEF" w:fill="FFFFFF"/>
            <w:noWrap/>
            <w:vAlign w:val="bottom"/>
            <w:hideMark/>
          </w:tcPr>
          <w:p w14:paraId="54E38EB8" w14:textId="77777777" w:rsidR="00562A13" w:rsidRDefault="0056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CCEE, QQUU, Altres..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8E71830" w14:textId="77777777" w:rsidR="00562A13" w:rsidRDefault="00562A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62A13" w14:paraId="1DC8F72B" w14:textId="77777777" w:rsidTr="00562A13">
        <w:trPr>
          <w:trHeight w:val="255"/>
        </w:trPr>
        <w:tc>
          <w:tcPr>
            <w:tcW w:w="390" w:type="dxa"/>
            <w:shd w:val="clear" w:color="EFEFEF" w:fill="FFFFFF"/>
            <w:noWrap/>
            <w:vAlign w:val="bottom"/>
            <w:hideMark/>
          </w:tcPr>
          <w:p w14:paraId="1CB291E6" w14:textId="77777777" w:rsidR="00562A13" w:rsidRDefault="0056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8" w:type="dxa"/>
            <w:shd w:val="clear" w:color="EFEFEF" w:fill="FFFFFF"/>
            <w:noWrap/>
            <w:vAlign w:val="bottom"/>
            <w:hideMark/>
          </w:tcPr>
          <w:p w14:paraId="0993EB37" w14:textId="77777777" w:rsidR="00562A13" w:rsidRDefault="00562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ingressos corrents consolidats ajustats: (1-2)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AB35B79" w14:textId="2B302B81" w:rsidR="00562A13" w:rsidRDefault="00562A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1505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E83975">
              <w:rPr>
                <w:rFonts w:ascii="Arial" w:hAnsi="Arial" w:cs="Arial"/>
                <w:b/>
                <w:bCs/>
                <w:sz w:val="20"/>
                <w:szCs w:val="20"/>
              </w:rPr>
              <w:t>391.655,95</w:t>
            </w:r>
          </w:p>
        </w:tc>
      </w:tr>
      <w:tr w:rsidR="00562A13" w14:paraId="6BB1C891" w14:textId="77777777" w:rsidTr="00562A13">
        <w:trPr>
          <w:trHeight w:val="255"/>
        </w:trPr>
        <w:tc>
          <w:tcPr>
            <w:tcW w:w="390" w:type="dxa"/>
            <w:shd w:val="clear" w:color="EFEFEF" w:fill="FFFFFF"/>
            <w:noWrap/>
            <w:vAlign w:val="bottom"/>
            <w:hideMark/>
          </w:tcPr>
          <w:p w14:paraId="41BEE7AA" w14:textId="77777777" w:rsidR="00562A13" w:rsidRDefault="0056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8" w:type="dxa"/>
            <w:shd w:val="clear" w:color="EFEFEF" w:fill="FFFFFF"/>
            <w:noWrap/>
            <w:vAlign w:val="bottom"/>
            <w:hideMark/>
          </w:tcPr>
          <w:p w14:paraId="53CA43B1" w14:textId="77777777" w:rsidR="00562A13" w:rsidRDefault="00562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Deute viu a 31 de desembre a llarg termini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193BC76" w14:textId="546C94AE" w:rsidR="00562A13" w:rsidRDefault="00115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1.997.502,40</w:t>
            </w:r>
          </w:p>
        </w:tc>
      </w:tr>
      <w:tr w:rsidR="00562A13" w14:paraId="506F7FB0" w14:textId="77777777" w:rsidTr="00562A13">
        <w:trPr>
          <w:trHeight w:val="255"/>
        </w:trPr>
        <w:tc>
          <w:tcPr>
            <w:tcW w:w="390" w:type="dxa"/>
            <w:shd w:val="clear" w:color="EFEFEF" w:fill="FFFFFF"/>
            <w:noWrap/>
            <w:vAlign w:val="bottom"/>
            <w:hideMark/>
          </w:tcPr>
          <w:p w14:paraId="1E684A61" w14:textId="77777777" w:rsidR="00562A13" w:rsidRDefault="0056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8" w:type="dxa"/>
            <w:shd w:val="clear" w:color="EFEFEF" w:fill="FFFFFF"/>
            <w:noWrap/>
            <w:vAlign w:val="bottom"/>
            <w:hideMark/>
          </w:tcPr>
          <w:p w14:paraId="21FA2DB4" w14:textId="77777777" w:rsidR="00562A13" w:rsidRDefault="00562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Deute viu a 31 de desembre a curt termini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5B80A4A" w14:textId="77777777" w:rsidR="00562A13" w:rsidRDefault="00562A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62A13" w14:paraId="277DD703" w14:textId="77777777" w:rsidTr="00562A13">
        <w:trPr>
          <w:trHeight w:val="255"/>
        </w:trPr>
        <w:tc>
          <w:tcPr>
            <w:tcW w:w="390" w:type="dxa"/>
            <w:shd w:val="clear" w:color="EFEFEF" w:fill="FFFFFF"/>
            <w:noWrap/>
            <w:vAlign w:val="bottom"/>
            <w:hideMark/>
          </w:tcPr>
          <w:p w14:paraId="608275BA" w14:textId="77777777" w:rsidR="00562A13" w:rsidRDefault="00562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8" w:type="dxa"/>
            <w:shd w:val="clear" w:color="EFEFEF" w:fill="FFFFFF"/>
            <w:noWrap/>
            <w:vAlign w:val="bottom"/>
            <w:hideMark/>
          </w:tcPr>
          <w:p w14:paraId="07EB44E7" w14:textId="77777777" w:rsidR="00562A13" w:rsidRDefault="00562A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Ràtio de deute viu consolidat: (5+6/4)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7BF0DB5" w14:textId="63E13548" w:rsidR="00562A13" w:rsidRDefault="0011505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8397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83975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="00562A13">
              <w:rPr>
                <w:rFonts w:ascii="Arial" w:hAnsi="Arial" w:cs="Arial"/>
                <w:b/>
                <w:bCs/>
                <w:sz w:val="20"/>
                <w:szCs w:val="20"/>
              </w:rPr>
              <w:t> %</w:t>
            </w:r>
          </w:p>
        </w:tc>
      </w:tr>
    </w:tbl>
    <w:p w14:paraId="21AE440A" w14:textId="77777777" w:rsidR="009779B7" w:rsidRDefault="009779B7" w:rsidP="009779B7">
      <w:pPr>
        <w:jc w:val="both"/>
        <w:rPr>
          <w:rFonts w:cs="Arial"/>
          <w:color w:val="000000"/>
          <w:szCs w:val="22"/>
        </w:rPr>
      </w:pPr>
    </w:p>
    <w:p w14:paraId="35750515" w14:textId="77777777" w:rsidR="009779B7" w:rsidRDefault="009779B7" w:rsidP="009779B7">
      <w:pPr>
        <w:jc w:val="both"/>
        <w:rPr>
          <w:rFonts w:cs="Arial"/>
          <w:color w:val="000000"/>
          <w:szCs w:val="22"/>
        </w:rPr>
      </w:pPr>
    </w:p>
    <w:p w14:paraId="6550BB1D" w14:textId="77777777" w:rsidR="009779B7" w:rsidRPr="009779B7" w:rsidRDefault="009779B7" w:rsidP="009779B7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9779B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Fonaments de dret</w:t>
      </w:r>
    </w:p>
    <w:p w14:paraId="6527221F" w14:textId="77777777" w:rsidR="009779B7" w:rsidRP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</w:p>
    <w:p w14:paraId="2954F041" w14:textId="77777777" w:rsidR="009779B7" w:rsidRP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Es fonamenta en la normativa reguladora del principi d'estabilitat pressupostària al sector públic local, de càlcul de la regla de despesa i de les obligacions de subministrament d'informació.</w:t>
      </w:r>
    </w:p>
    <w:p w14:paraId="3A91C428" w14:textId="77777777" w:rsidR="009779B7" w:rsidRP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</w:p>
    <w:p w14:paraId="051F0482" w14:textId="77777777" w:rsid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Llei 7/1985, de 2 d'abril, reguladora de les bases rel règim local (LRBRL).</w:t>
      </w:r>
    </w:p>
    <w:p w14:paraId="11FC97C4" w14:textId="77777777" w:rsidR="0006082A" w:rsidRPr="009779B7" w:rsidRDefault="0006082A" w:rsidP="009779B7">
      <w:pPr>
        <w:jc w:val="both"/>
        <w:rPr>
          <w:rFonts w:ascii="Arial" w:hAnsi="Arial" w:cs="Arial"/>
          <w:sz w:val="22"/>
          <w:szCs w:val="22"/>
        </w:rPr>
      </w:pPr>
    </w:p>
    <w:p w14:paraId="2256F7F2" w14:textId="77777777" w:rsid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Llei Orgànica 2/2012, de 27 d'abril, d'estabilitat pressupostària i sostenibilitat financera (LOEPSF).</w:t>
      </w:r>
    </w:p>
    <w:p w14:paraId="7D72CC29" w14:textId="77777777" w:rsidR="0006082A" w:rsidRPr="009779B7" w:rsidRDefault="0006082A" w:rsidP="009779B7">
      <w:pPr>
        <w:jc w:val="both"/>
        <w:rPr>
          <w:rFonts w:ascii="Arial" w:hAnsi="Arial" w:cs="Arial"/>
          <w:sz w:val="22"/>
          <w:szCs w:val="22"/>
        </w:rPr>
      </w:pPr>
    </w:p>
    <w:p w14:paraId="380F4B83" w14:textId="77777777" w:rsid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Llei Orgànica 9/2013, de 20 de desembre, de control del deute comercial en el sector públic.</w:t>
      </w:r>
    </w:p>
    <w:p w14:paraId="3DD0BBEE" w14:textId="77777777" w:rsidR="0006082A" w:rsidRPr="009779B7" w:rsidRDefault="0006082A" w:rsidP="009779B7">
      <w:pPr>
        <w:jc w:val="both"/>
        <w:rPr>
          <w:rFonts w:ascii="Arial" w:hAnsi="Arial" w:cs="Arial"/>
          <w:sz w:val="22"/>
          <w:szCs w:val="22"/>
        </w:rPr>
      </w:pPr>
    </w:p>
    <w:p w14:paraId="0BC65D0D" w14:textId="77777777" w:rsid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Llei 25/2013, de 27 de desembre, d'impuls de la factura electrònica i creació del registre comptable de factures en el sector públic.</w:t>
      </w:r>
    </w:p>
    <w:p w14:paraId="53EC690E" w14:textId="77777777" w:rsidR="0006082A" w:rsidRPr="009779B7" w:rsidRDefault="0006082A" w:rsidP="009779B7">
      <w:pPr>
        <w:jc w:val="both"/>
        <w:rPr>
          <w:rFonts w:ascii="Arial" w:hAnsi="Arial" w:cs="Arial"/>
          <w:sz w:val="22"/>
          <w:szCs w:val="22"/>
        </w:rPr>
      </w:pPr>
    </w:p>
    <w:p w14:paraId="2F8713CE" w14:textId="77777777" w:rsid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Ordre Ministerial HAP/2015/2012, d'1 d'octubre, per la qual es desenvolupen les obligacions de subministrament d'informació previstes en la LOEPSF (OM).</w:t>
      </w:r>
    </w:p>
    <w:p w14:paraId="6C0F97E1" w14:textId="77777777" w:rsidR="0006082A" w:rsidRPr="009779B7" w:rsidRDefault="0006082A" w:rsidP="009779B7">
      <w:pPr>
        <w:jc w:val="both"/>
        <w:rPr>
          <w:rFonts w:ascii="Arial" w:hAnsi="Arial" w:cs="Arial"/>
          <w:sz w:val="22"/>
          <w:szCs w:val="22"/>
        </w:rPr>
      </w:pPr>
    </w:p>
    <w:p w14:paraId="2D428EF9" w14:textId="77777777" w:rsid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Reial Decret Legislatiu 2/2004, de 5 de març, (TRLRHL) que aprova el Text Refós de la Llei reguladora de les hisendes locals, en relació amb el Principi d'Estabilitat Pressupostària (articles 54.7 i 146.1).</w:t>
      </w:r>
    </w:p>
    <w:p w14:paraId="6D73A039" w14:textId="77777777" w:rsidR="0006082A" w:rsidRPr="009779B7" w:rsidRDefault="0006082A" w:rsidP="009779B7">
      <w:pPr>
        <w:jc w:val="both"/>
        <w:rPr>
          <w:rFonts w:ascii="Arial" w:hAnsi="Arial" w:cs="Arial"/>
          <w:sz w:val="22"/>
          <w:szCs w:val="22"/>
        </w:rPr>
      </w:pPr>
    </w:p>
    <w:p w14:paraId="07D6ACA3" w14:textId="77777777" w:rsid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Manual de càlcul del dèficit en comptabilitat nacional adaptat a les corporacions locals, publicat per la Intervenció General de l'Administració de l'Estat, Ministeri d'Economia i Hisenda.</w:t>
      </w:r>
    </w:p>
    <w:p w14:paraId="51A99B7E" w14:textId="77777777" w:rsidR="0006082A" w:rsidRPr="009779B7" w:rsidRDefault="0006082A" w:rsidP="009779B7">
      <w:pPr>
        <w:jc w:val="both"/>
        <w:rPr>
          <w:rFonts w:ascii="Arial" w:hAnsi="Arial" w:cs="Arial"/>
          <w:sz w:val="22"/>
          <w:szCs w:val="22"/>
        </w:rPr>
      </w:pPr>
    </w:p>
    <w:p w14:paraId="72BF060A" w14:textId="77777777" w:rsidR="009779B7" w:rsidRPr="009779B7" w:rsidRDefault="009779B7" w:rsidP="009779B7">
      <w:pPr>
        <w:jc w:val="both"/>
        <w:rPr>
          <w:rFonts w:ascii="Arial" w:hAnsi="Arial" w:cs="Arial"/>
          <w:sz w:val="22"/>
          <w:szCs w:val="22"/>
        </w:rPr>
      </w:pPr>
      <w:r w:rsidRPr="009779B7">
        <w:rPr>
          <w:rFonts w:ascii="Arial" w:hAnsi="Arial" w:cs="Arial"/>
          <w:sz w:val="22"/>
          <w:szCs w:val="22"/>
        </w:rPr>
        <w:t>Manual del SEC 2010 sobre el Dèficit Públic i el Deute Públic, publicat per Eurostat.</w:t>
      </w:r>
    </w:p>
    <w:p w14:paraId="2557A299" w14:textId="77777777" w:rsidR="009779B7" w:rsidRPr="00DB56AB" w:rsidRDefault="009779B7" w:rsidP="009779B7">
      <w:pPr>
        <w:jc w:val="both"/>
      </w:pPr>
    </w:p>
    <w:p w14:paraId="2E058FE4" w14:textId="77777777" w:rsidR="002C6D7B" w:rsidRPr="0006082A" w:rsidRDefault="00BB0A04" w:rsidP="0006082A">
      <w:pPr>
        <w:pStyle w:val="Ttol2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2960D4" w:rsidRPr="00E90350">
        <w:rPr>
          <w:sz w:val="22"/>
          <w:szCs w:val="22"/>
        </w:rPr>
        <w:t>onclusió sobre els controls</w:t>
      </w:r>
    </w:p>
    <w:p w14:paraId="266DDC2C" w14:textId="57576DDC" w:rsidR="0006082A" w:rsidRDefault="00640153" w:rsidP="002C6D7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Es compleixen les </w:t>
      </w:r>
      <w:r w:rsidR="0006082A">
        <w:rPr>
          <w:rFonts w:ascii="Arial" w:hAnsi="Arial" w:cs="Arial"/>
          <w:iCs/>
          <w:sz w:val="22"/>
          <w:szCs w:val="22"/>
        </w:rPr>
        <w:t>regles fiscals per l’ exercici 202</w:t>
      </w:r>
      <w:r w:rsidR="007715C1">
        <w:rPr>
          <w:rFonts w:ascii="Arial" w:hAnsi="Arial" w:cs="Arial"/>
          <w:iCs/>
          <w:sz w:val="22"/>
          <w:szCs w:val="22"/>
        </w:rPr>
        <w:t>3</w:t>
      </w:r>
      <w:r w:rsidR="0006082A">
        <w:rPr>
          <w:rFonts w:ascii="Arial" w:hAnsi="Arial" w:cs="Arial"/>
          <w:iCs/>
          <w:sz w:val="22"/>
          <w:szCs w:val="22"/>
        </w:rPr>
        <w:t>.</w:t>
      </w:r>
    </w:p>
    <w:p w14:paraId="5FA43C41" w14:textId="77777777" w:rsidR="00CC5F34" w:rsidRPr="00E90350" w:rsidRDefault="00CC5F34">
      <w:pPr>
        <w:spacing w:line="360" w:lineRule="auto"/>
        <w:rPr>
          <w:rFonts w:ascii="Arial" w:hAnsi="Arial" w:cs="Arial"/>
          <w:sz w:val="22"/>
          <w:szCs w:val="22"/>
        </w:rPr>
      </w:pPr>
    </w:p>
    <w:p w14:paraId="3AA87343" w14:textId="77777777" w:rsidR="002960D4" w:rsidRPr="00E90350" w:rsidRDefault="002960D4">
      <w:pPr>
        <w:rPr>
          <w:rFonts w:ascii="Arial" w:hAnsi="Arial" w:cs="Arial"/>
          <w:b/>
          <w:sz w:val="22"/>
          <w:szCs w:val="22"/>
          <w:u w:val="single"/>
        </w:rPr>
      </w:pPr>
    </w:p>
    <w:p w14:paraId="6B5AAF86" w14:textId="0C8B84BB" w:rsidR="00E45E45" w:rsidRDefault="00E45E45" w:rsidP="00E45E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7DE8">
        <w:rPr>
          <w:rFonts w:ascii="Arial" w:hAnsi="Arial" w:cs="Arial"/>
          <w:sz w:val="22"/>
          <w:szCs w:val="22"/>
        </w:rPr>
        <w:t xml:space="preserve">Sallent, </w:t>
      </w:r>
      <w:r w:rsidR="00E83975">
        <w:rPr>
          <w:rFonts w:ascii="Arial" w:hAnsi="Arial" w:cs="Arial"/>
          <w:sz w:val="22"/>
          <w:szCs w:val="22"/>
        </w:rPr>
        <w:t>13</w:t>
      </w:r>
      <w:r w:rsidR="007715C1">
        <w:rPr>
          <w:rFonts w:ascii="Arial" w:hAnsi="Arial" w:cs="Arial"/>
          <w:sz w:val="22"/>
          <w:szCs w:val="22"/>
        </w:rPr>
        <w:t xml:space="preserve"> </w:t>
      </w:r>
      <w:r w:rsidR="0006082A">
        <w:rPr>
          <w:rFonts w:ascii="Arial" w:hAnsi="Arial" w:cs="Arial"/>
          <w:sz w:val="22"/>
          <w:szCs w:val="22"/>
        </w:rPr>
        <w:t xml:space="preserve">de març de </w:t>
      </w:r>
      <w:r w:rsidR="00F3721E">
        <w:rPr>
          <w:rFonts w:ascii="Arial" w:hAnsi="Arial" w:cs="Arial"/>
          <w:sz w:val="22"/>
          <w:szCs w:val="22"/>
        </w:rPr>
        <w:t>de 202</w:t>
      </w:r>
      <w:r w:rsidR="0011505B">
        <w:rPr>
          <w:rFonts w:ascii="Arial" w:hAnsi="Arial" w:cs="Arial"/>
          <w:sz w:val="22"/>
          <w:szCs w:val="22"/>
        </w:rPr>
        <w:t>4</w:t>
      </w:r>
    </w:p>
    <w:p w14:paraId="110C8DE3" w14:textId="77777777" w:rsidR="003655D0" w:rsidRPr="008B7DE8" w:rsidRDefault="003655D0" w:rsidP="00E45E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ABE7A7" w14:textId="77777777" w:rsidR="00E45E45" w:rsidRPr="008B7DE8" w:rsidRDefault="00E45E45" w:rsidP="00E45E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7DE8">
        <w:rPr>
          <w:rFonts w:ascii="Arial" w:hAnsi="Arial" w:cs="Arial"/>
          <w:sz w:val="22"/>
          <w:szCs w:val="22"/>
        </w:rPr>
        <w:t xml:space="preserve">El secretari-interventor </w:t>
      </w:r>
      <w:proofErr w:type="spellStart"/>
      <w:r w:rsidRPr="008B7DE8">
        <w:rPr>
          <w:rFonts w:ascii="Arial" w:hAnsi="Arial" w:cs="Arial"/>
          <w:sz w:val="22"/>
          <w:szCs w:val="22"/>
        </w:rPr>
        <w:t>acctal</w:t>
      </w:r>
      <w:proofErr w:type="spellEnd"/>
      <w:r w:rsidRPr="008B7DE8">
        <w:rPr>
          <w:rFonts w:ascii="Arial" w:hAnsi="Arial" w:cs="Arial"/>
          <w:sz w:val="22"/>
          <w:szCs w:val="22"/>
        </w:rPr>
        <w:t>.,</w:t>
      </w:r>
    </w:p>
    <w:p w14:paraId="42E2AF42" w14:textId="77777777" w:rsidR="00DC1187" w:rsidRPr="00DC1187" w:rsidRDefault="00DC1187" w:rsidP="00E45E45">
      <w:pPr>
        <w:pStyle w:val="NormalWeb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DC1187" w:rsidRPr="00DC1187" w:rsidSect="004E7F5F">
      <w:headerReference w:type="default" r:id="rId8"/>
      <w:footerReference w:type="default" r:id="rId9"/>
      <w:pgSz w:w="11906" w:h="16838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4CA2" w14:textId="77777777" w:rsidR="00E92215" w:rsidRDefault="00E92215">
      <w:r>
        <w:separator/>
      </w:r>
    </w:p>
  </w:endnote>
  <w:endnote w:type="continuationSeparator" w:id="0">
    <w:p w14:paraId="5C42550F" w14:textId="77777777" w:rsidR="00E92215" w:rsidRDefault="00E9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2594" w14:textId="77777777" w:rsidR="005B6B36" w:rsidRDefault="005B6B36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="000909BD" w:rsidRPr="000909BD">
      <w:rPr>
        <w:noProof/>
        <w:lang w:val="es-ES"/>
      </w:rPr>
      <w:t>2</w:t>
    </w:r>
    <w:r>
      <w:fldChar w:fldCharType="end"/>
    </w:r>
  </w:p>
  <w:p w14:paraId="106588A4" w14:textId="77777777" w:rsidR="005B6B36" w:rsidRDefault="005B6B3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5CA8" w14:textId="77777777" w:rsidR="00E92215" w:rsidRDefault="00E92215">
      <w:r>
        <w:separator/>
      </w:r>
    </w:p>
  </w:footnote>
  <w:footnote w:type="continuationSeparator" w:id="0">
    <w:p w14:paraId="4C5CA8B2" w14:textId="77777777" w:rsidR="00E92215" w:rsidRDefault="00E9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C3ED" w14:textId="77777777" w:rsidR="00B86939" w:rsidRDefault="00E83975">
    <w:pPr>
      <w:pStyle w:val="Capalera"/>
    </w:pPr>
    <w:r>
      <w:pict w14:anchorId="69B45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45.5pt;height:54pt;mso-position-horizontal-relative:page;mso-position-vertical-relative:page">
          <v:imagedata r:id="rId1" o:title="B-GenericColor"/>
        </v:shape>
      </w:pict>
    </w:r>
  </w:p>
  <w:p w14:paraId="1B6715EB" w14:textId="77777777" w:rsidR="00B86939" w:rsidRDefault="00B8693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52CB"/>
    <w:multiLevelType w:val="hybridMultilevel"/>
    <w:tmpl w:val="128CF6CC"/>
    <w:lvl w:ilvl="0" w:tplc="54386DE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6409"/>
    <w:multiLevelType w:val="multilevel"/>
    <w:tmpl w:val="1E166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A170C1"/>
    <w:multiLevelType w:val="multilevel"/>
    <w:tmpl w:val="4DA170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54442">
    <w:abstractNumId w:val="2"/>
  </w:num>
  <w:num w:numId="2" w16cid:durableId="481966424">
    <w:abstractNumId w:val="1"/>
  </w:num>
  <w:num w:numId="3" w16cid:durableId="7302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64E"/>
    <w:rsid w:val="000024F7"/>
    <w:rsid w:val="00002675"/>
    <w:rsid w:val="000130DD"/>
    <w:rsid w:val="0001615D"/>
    <w:rsid w:val="0001787E"/>
    <w:rsid w:val="00021390"/>
    <w:rsid w:val="0002464A"/>
    <w:rsid w:val="00036F39"/>
    <w:rsid w:val="0006082A"/>
    <w:rsid w:val="000614FA"/>
    <w:rsid w:val="000759C1"/>
    <w:rsid w:val="0008644C"/>
    <w:rsid w:val="000909BD"/>
    <w:rsid w:val="000A0FD5"/>
    <w:rsid w:val="000A146F"/>
    <w:rsid w:val="000A3E9F"/>
    <w:rsid w:val="000A3F52"/>
    <w:rsid w:val="000A3F64"/>
    <w:rsid w:val="000A7190"/>
    <w:rsid w:val="000A7F30"/>
    <w:rsid w:val="000B4A62"/>
    <w:rsid w:val="000C27CC"/>
    <w:rsid w:val="000C394E"/>
    <w:rsid w:val="000C39A6"/>
    <w:rsid w:val="000E172D"/>
    <w:rsid w:val="000E79BA"/>
    <w:rsid w:val="000F15B0"/>
    <w:rsid w:val="000F4750"/>
    <w:rsid w:val="000F7845"/>
    <w:rsid w:val="001001D8"/>
    <w:rsid w:val="00100DF2"/>
    <w:rsid w:val="00103E26"/>
    <w:rsid w:val="00107AAF"/>
    <w:rsid w:val="00114B59"/>
    <w:rsid w:val="0011505B"/>
    <w:rsid w:val="00120FBA"/>
    <w:rsid w:val="00121341"/>
    <w:rsid w:val="00132ABC"/>
    <w:rsid w:val="00147B5F"/>
    <w:rsid w:val="00154591"/>
    <w:rsid w:val="001633B5"/>
    <w:rsid w:val="0017024E"/>
    <w:rsid w:val="001A2754"/>
    <w:rsid w:val="001A2A7F"/>
    <w:rsid w:val="001A55E1"/>
    <w:rsid w:val="001A656E"/>
    <w:rsid w:val="001A7471"/>
    <w:rsid w:val="001C2AB9"/>
    <w:rsid w:val="001D424D"/>
    <w:rsid w:val="001D7599"/>
    <w:rsid w:val="001E3862"/>
    <w:rsid w:val="001E64A4"/>
    <w:rsid w:val="001F3952"/>
    <w:rsid w:val="001F7A9C"/>
    <w:rsid w:val="00222A28"/>
    <w:rsid w:val="00225124"/>
    <w:rsid w:val="00225A8D"/>
    <w:rsid w:val="002547D1"/>
    <w:rsid w:val="002561AE"/>
    <w:rsid w:val="0027286D"/>
    <w:rsid w:val="00283361"/>
    <w:rsid w:val="002903F7"/>
    <w:rsid w:val="002960D4"/>
    <w:rsid w:val="00297DF8"/>
    <w:rsid w:val="002A2C87"/>
    <w:rsid w:val="002A3F2D"/>
    <w:rsid w:val="002A4BA5"/>
    <w:rsid w:val="002A58B3"/>
    <w:rsid w:val="002C6D7B"/>
    <w:rsid w:val="002D3204"/>
    <w:rsid w:val="002E73A8"/>
    <w:rsid w:val="002F28BC"/>
    <w:rsid w:val="003006CB"/>
    <w:rsid w:val="00322C5D"/>
    <w:rsid w:val="00324348"/>
    <w:rsid w:val="00336A11"/>
    <w:rsid w:val="0034025B"/>
    <w:rsid w:val="003655D0"/>
    <w:rsid w:val="00384C93"/>
    <w:rsid w:val="003A1287"/>
    <w:rsid w:val="003C0369"/>
    <w:rsid w:val="003C1A72"/>
    <w:rsid w:val="003D35E5"/>
    <w:rsid w:val="003E1639"/>
    <w:rsid w:val="003F0394"/>
    <w:rsid w:val="003F463D"/>
    <w:rsid w:val="003F772A"/>
    <w:rsid w:val="003F7D29"/>
    <w:rsid w:val="00403ED8"/>
    <w:rsid w:val="00407C62"/>
    <w:rsid w:val="004135AC"/>
    <w:rsid w:val="00421A56"/>
    <w:rsid w:val="00436E23"/>
    <w:rsid w:val="004468F9"/>
    <w:rsid w:val="004559CE"/>
    <w:rsid w:val="00456D4F"/>
    <w:rsid w:val="00457D31"/>
    <w:rsid w:val="00480F1F"/>
    <w:rsid w:val="004824F2"/>
    <w:rsid w:val="00487E10"/>
    <w:rsid w:val="00490BC0"/>
    <w:rsid w:val="00494EF5"/>
    <w:rsid w:val="004A0C8B"/>
    <w:rsid w:val="004A6DC6"/>
    <w:rsid w:val="004C15A7"/>
    <w:rsid w:val="004C2E91"/>
    <w:rsid w:val="004D737E"/>
    <w:rsid w:val="004E007E"/>
    <w:rsid w:val="004E562F"/>
    <w:rsid w:val="004E7F5F"/>
    <w:rsid w:val="005029E7"/>
    <w:rsid w:val="00506763"/>
    <w:rsid w:val="00525B0E"/>
    <w:rsid w:val="00531914"/>
    <w:rsid w:val="00541B85"/>
    <w:rsid w:val="00542183"/>
    <w:rsid w:val="005475BD"/>
    <w:rsid w:val="00560CEA"/>
    <w:rsid w:val="00562A13"/>
    <w:rsid w:val="00573166"/>
    <w:rsid w:val="00592606"/>
    <w:rsid w:val="00595964"/>
    <w:rsid w:val="00597F1A"/>
    <w:rsid w:val="005A141C"/>
    <w:rsid w:val="005A4F05"/>
    <w:rsid w:val="005A5B79"/>
    <w:rsid w:val="005B6B36"/>
    <w:rsid w:val="005C455E"/>
    <w:rsid w:val="005C4E71"/>
    <w:rsid w:val="005C757F"/>
    <w:rsid w:val="005E3E91"/>
    <w:rsid w:val="005F1C09"/>
    <w:rsid w:val="00602F90"/>
    <w:rsid w:val="00605153"/>
    <w:rsid w:val="0060529D"/>
    <w:rsid w:val="006112A8"/>
    <w:rsid w:val="00613688"/>
    <w:rsid w:val="00615F0D"/>
    <w:rsid w:val="006174EE"/>
    <w:rsid w:val="006251A1"/>
    <w:rsid w:val="00627059"/>
    <w:rsid w:val="00640153"/>
    <w:rsid w:val="00651BA5"/>
    <w:rsid w:val="00653621"/>
    <w:rsid w:val="00665C55"/>
    <w:rsid w:val="00673FBE"/>
    <w:rsid w:val="00676FA7"/>
    <w:rsid w:val="006858DC"/>
    <w:rsid w:val="00692E1A"/>
    <w:rsid w:val="00693327"/>
    <w:rsid w:val="006B36C8"/>
    <w:rsid w:val="006D554C"/>
    <w:rsid w:val="006E3278"/>
    <w:rsid w:val="006E60B2"/>
    <w:rsid w:val="007028EF"/>
    <w:rsid w:val="007114F0"/>
    <w:rsid w:val="00741C95"/>
    <w:rsid w:val="00767CC2"/>
    <w:rsid w:val="007715C1"/>
    <w:rsid w:val="00773367"/>
    <w:rsid w:val="007849F8"/>
    <w:rsid w:val="007859B0"/>
    <w:rsid w:val="0079528C"/>
    <w:rsid w:val="007A03EC"/>
    <w:rsid w:val="007C328F"/>
    <w:rsid w:val="007C464E"/>
    <w:rsid w:val="007D1E57"/>
    <w:rsid w:val="007D67F4"/>
    <w:rsid w:val="007E4171"/>
    <w:rsid w:val="00805AF6"/>
    <w:rsid w:val="00807932"/>
    <w:rsid w:val="00820F56"/>
    <w:rsid w:val="0082138D"/>
    <w:rsid w:val="00832DB5"/>
    <w:rsid w:val="00842531"/>
    <w:rsid w:val="008445A0"/>
    <w:rsid w:val="00864BA8"/>
    <w:rsid w:val="00867F13"/>
    <w:rsid w:val="008A7E96"/>
    <w:rsid w:val="008B32CB"/>
    <w:rsid w:val="008B3703"/>
    <w:rsid w:val="008B5DAE"/>
    <w:rsid w:val="008C2B7E"/>
    <w:rsid w:val="008C4151"/>
    <w:rsid w:val="008C745A"/>
    <w:rsid w:val="008C7C23"/>
    <w:rsid w:val="008D1D21"/>
    <w:rsid w:val="008D56E2"/>
    <w:rsid w:val="008D75B4"/>
    <w:rsid w:val="008E1D68"/>
    <w:rsid w:val="008E5DD4"/>
    <w:rsid w:val="008F05BC"/>
    <w:rsid w:val="00900324"/>
    <w:rsid w:val="00903FE3"/>
    <w:rsid w:val="0090452D"/>
    <w:rsid w:val="00915EF1"/>
    <w:rsid w:val="0093581D"/>
    <w:rsid w:val="0094190A"/>
    <w:rsid w:val="00952A05"/>
    <w:rsid w:val="00957431"/>
    <w:rsid w:val="00964796"/>
    <w:rsid w:val="00965062"/>
    <w:rsid w:val="00966F09"/>
    <w:rsid w:val="00970AD1"/>
    <w:rsid w:val="00973494"/>
    <w:rsid w:val="009779B7"/>
    <w:rsid w:val="0098645B"/>
    <w:rsid w:val="009A0CF4"/>
    <w:rsid w:val="009A4357"/>
    <w:rsid w:val="009A5B5C"/>
    <w:rsid w:val="009A732C"/>
    <w:rsid w:val="009B1962"/>
    <w:rsid w:val="009D320E"/>
    <w:rsid w:val="009D527D"/>
    <w:rsid w:val="009D6846"/>
    <w:rsid w:val="009D68DE"/>
    <w:rsid w:val="009E7618"/>
    <w:rsid w:val="009F28A8"/>
    <w:rsid w:val="00A01714"/>
    <w:rsid w:val="00A270C7"/>
    <w:rsid w:val="00A37335"/>
    <w:rsid w:val="00A42C47"/>
    <w:rsid w:val="00A50B56"/>
    <w:rsid w:val="00A6147E"/>
    <w:rsid w:val="00A82585"/>
    <w:rsid w:val="00A83046"/>
    <w:rsid w:val="00AA1A1F"/>
    <w:rsid w:val="00AB315E"/>
    <w:rsid w:val="00AC0FF9"/>
    <w:rsid w:val="00AC5494"/>
    <w:rsid w:val="00AD195F"/>
    <w:rsid w:val="00AD273F"/>
    <w:rsid w:val="00AD5E73"/>
    <w:rsid w:val="00AD649A"/>
    <w:rsid w:val="00AE00A8"/>
    <w:rsid w:val="00AE0C6A"/>
    <w:rsid w:val="00AF0362"/>
    <w:rsid w:val="00AF49CA"/>
    <w:rsid w:val="00B109B0"/>
    <w:rsid w:val="00B213FD"/>
    <w:rsid w:val="00B2187F"/>
    <w:rsid w:val="00B337CB"/>
    <w:rsid w:val="00B551F5"/>
    <w:rsid w:val="00B73C66"/>
    <w:rsid w:val="00B74939"/>
    <w:rsid w:val="00B75E63"/>
    <w:rsid w:val="00B833B1"/>
    <w:rsid w:val="00B86939"/>
    <w:rsid w:val="00B93A8D"/>
    <w:rsid w:val="00BA6D94"/>
    <w:rsid w:val="00BA74D4"/>
    <w:rsid w:val="00BA78C4"/>
    <w:rsid w:val="00BB0A04"/>
    <w:rsid w:val="00BB2203"/>
    <w:rsid w:val="00BC367C"/>
    <w:rsid w:val="00BE71CA"/>
    <w:rsid w:val="00C0025D"/>
    <w:rsid w:val="00C009DE"/>
    <w:rsid w:val="00C02A9E"/>
    <w:rsid w:val="00C0306F"/>
    <w:rsid w:val="00C11492"/>
    <w:rsid w:val="00C13B7D"/>
    <w:rsid w:val="00C156CE"/>
    <w:rsid w:val="00C16CF2"/>
    <w:rsid w:val="00C1713E"/>
    <w:rsid w:val="00C20C01"/>
    <w:rsid w:val="00C248D5"/>
    <w:rsid w:val="00C27999"/>
    <w:rsid w:val="00C30014"/>
    <w:rsid w:val="00C427B3"/>
    <w:rsid w:val="00C4794E"/>
    <w:rsid w:val="00C50BE3"/>
    <w:rsid w:val="00C54011"/>
    <w:rsid w:val="00C54F21"/>
    <w:rsid w:val="00C7406E"/>
    <w:rsid w:val="00C74E04"/>
    <w:rsid w:val="00C7639E"/>
    <w:rsid w:val="00C80BF5"/>
    <w:rsid w:val="00C83378"/>
    <w:rsid w:val="00C83CD2"/>
    <w:rsid w:val="00C83ECA"/>
    <w:rsid w:val="00C861BD"/>
    <w:rsid w:val="00CA0FFA"/>
    <w:rsid w:val="00CB709F"/>
    <w:rsid w:val="00CC5F34"/>
    <w:rsid w:val="00CE25BF"/>
    <w:rsid w:val="00CE3762"/>
    <w:rsid w:val="00CF0C92"/>
    <w:rsid w:val="00CF133F"/>
    <w:rsid w:val="00CF48A4"/>
    <w:rsid w:val="00CF4E2F"/>
    <w:rsid w:val="00CF5F7D"/>
    <w:rsid w:val="00D2383B"/>
    <w:rsid w:val="00D27970"/>
    <w:rsid w:val="00D27A13"/>
    <w:rsid w:val="00D3276A"/>
    <w:rsid w:val="00D35129"/>
    <w:rsid w:val="00D42100"/>
    <w:rsid w:val="00D456EB"/>
    <w:rsid w:val="00D46FB4"/>
    <w:rsid w:val="00D55726"/>
    <w:rsid w:val="00D57D5B"/>
    <w:rsid w:val="00D667FD"/>
    <w:rsid w:val="00D861E7"/>
    <w:rsid w:val="00DC1187"/>
    <w:rsid w:val="00DC3900"/>
    <w:rsid w:val="00DD09B9"/>
    <w:rsid w:val="00DE047F"/>
    <w:rsid w:val="00DE1ACE"/>
    <w:rsid w:val="00DE37DD"/>
    <w:rsid w:val="00DE38F4"/>
    <w:rsid w:val="00DF7D8D"/>
    <w:rsid w:val="00E04983"/>
    <w:rsid w:val="00E04F8E"/>
    <w:rsid w:val="00E25EDC"/>
    <w:rsid w:val="00E34EEE"/>
    <w:rsid w:val="00E37DCF"/>
    <w:rsid w:val="00E4385E"/>
    <w:rsid w:val="00E45E45"/>
    <w:rsid w:val="00E627EA"/>
    <w:rsid w:val="00E67730"/>
    <w:rsid w:val="00E67AFB"/>
    <w:rsid w:val="00E7668B"/>
    <w:rsid w:val="00E81CC2"/>
    <w:rsid w:val="00E83434"/>
    <w:rsid w:val="00E83975"/>
    <w:rsid w:val="00E83E19"/>
    <w:rsid w:val="00E85708"/>
    <w:rsid w:val="00E90350"/>
    <w:rsid w:val="00E92215"/>
    <w:rsid w:val="00E94AE6"/>
    <w:rsid w:val="00E94FB2"/>
    <w:rsid w:val="00E9529A"/>
    <w:rsid w:val="00E96F75"/>
    <w:rsid w:val="00EA1332"/>
    <w:rsid w:val="00EB2A94"/>
    <w:rsid w:val="00EC06D2"/>
    <w:rsid w:val="00ED6F4B"/>
    <w:rsid w:val="00F006B7"/>
    <w:rsid w:val="00F017C1"/>
    <w:rsid w:val="00F02A95"/>
    <w:rsid w:val="00F02B86"/>
    <w:rsid w:val="00F076BD"/>
    <w:rsid w:val="00F100DD"/>
    <w:rsid w:val="00F3218E"/>
    <w:rsid w:val="00F3721E"/>
    <w:rsid w:val="00F5042E"/>
    <w:rsid w:val="00F505AB"/>
    <w:rsid w:val="00F5194C"/>
    <w:rsid w:val="00F52822"/>
    <w:rsid w:val="00F55B9A"/>
    <w:rsid w:val="00F62671"/>
    <w:rsid w:val="00F650F8"/>
    <w:rsid w:val="00F65561"/>
    <w:rsid w:val="00F72929"/>
    <w:rsid w:val="00F7737A"/>
    <w:rsid w:val="00F81DF8"/>
    <w:rsid w:val="00F823EC"/>
    <w:rsid w:val="00F932BB"/>
    <w:rsid w:val="00F9357C"/>
    <w:rsid w:val="00F939BE"/>
    <w:rsid w:val="00F94C55"/>
    <w:rsid w:val="00FA35E7"/>
    <w:rsid w:val="00FA6453"/>
    <w:rsid w:val="00FC0A36"/>
    <w:rsid w:val="00FC4B12"/>
    <w:rsid w:val="00FC66D1"/>
    <w:rsid w:val="00FC6DA0"/>
    <w:rsid w:val="00FD0012"/>
    <w:rsid w:val="00FE2AEF"/>
    <w:rsid w:val="00FF15D9"/>
    <w:rsid w:val="00FF3716"/>
    <w:rsid w:val="010467BB"/>
    <w:rsid w:val="16F27936"/>
    <w:rsid w:val="24AA675F"/>
    <w:rsid w:val="5C4F2C83"/>
    <w:rsid w:val="6C1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4A062B35"/>
  <w15:chartTrackingRefBased/>
  <w15:docId w15:val="{6BE056B3-37EA-4AF3-B919-2DA8FF6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header" w:uiPriority="99"/>
    <w:lsdException w:name="footer" w:uiPriority="99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rPr>
      <w:vertAlign w:val="superscript"/>
    </w:rPr>
  </w:style>
  <w:style w:type="character" w:customStyle="1" w:styleId="hps">
    <w:name w:val="hps"/>
    <w:basedOn w:val="Lletraperdefectedelpargraf"/>
  </w:style>
  <w:style w:type="character" w:styleId="Textennegreta">
    <w:name w:val="Strong"/>
    <w:qFormat/>
    <w:rPr>
      <w:b/>
      <w:bCs/>
    </w:rPr>
  </w:style>
  <w:style w:type="character" w:customStyle="1" w:styleId="hpsatn">
    <w:name w:val="hps atn"/>
    <w:basedOn w:val="Lletraperdefectedelpargraf"/>
  </w:style>
  <w:style w:type="character" w:customStyle="1" w:styleId="atn">
    <w:name w:val="atn"/>
    <w:basedOn w:val="Lletraperdefectedelpargraf"/>
  </w:style>
  <w:style w:type="character" w:customStyle="1" w:styleId="CapaleraCar">
    <w:name w:val="Capçalera Car"/>
    <w:link w:val="Capalera"/>
    <w:uiPriority w:val="99"/>
    <w:rPr>
      <w:sz w:val="24"/>
      <w:szCs w:val="24"/>
      <w:lang w:val="es-ES"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Pr>
      <w:sz w:val="20"/>
      <w:szCs w:val="20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link w:val="Peu"/>
    <w:uiPriority w:val="99"/>
    <w:rsid w:val="005B6B36"/>
    <w:rPr>
      <w:sz w:val="24"/>
      <w:szCs w:val="24"/>
      <w:lang w:eastAsia="es-ES"/>
    </w:rPr>
  </w:style>
  <w:style w:type="character" w:customStyle="1" w:styleId="Caracteresdenotaalpie">
    <w:name w:val="Caracteres de nota al pie"/>
    <w:rsid w:val="00977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1307-9247-4CC5-B5B8-DD1D6B6F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1444</Words>
  <Characters>8236</Characters>
  <Application>Microsoft Office Word</Application>
  <DocSecurity>0</DocSecurity>
  <PresentationFormat/>
  <Lines>68</Lines>
  <Paragraphs>19</Paragraphs>
  <Slides>0</Slides>
  <Notes>0</Notes>
  <HiddenSlides>0</HiddenSlides>
  <MMClips>0</MMClip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Pautes per l’informe de compliment dels requeriments de la llei orgànica 2/2012 a la liquidació del pressupost de l’exercici 2</vt:lpstr>
      <vt:lpstr>Pautes per l’informe de compliment dels requeriments de la llei orgànica 2/2012 a la liquidació del pressupost de l’exercici 2</vt:lpstr>
    </vt:vector>
  </TitlesOfParts>
  <Company>DIPUTACIÓ DE BARCELONA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Pautes per l’informe de compliment dels requeriments de la llei orgànica 2/2012 a la liquidació del pressupost de l’exercici 2</dc:title>
  <dc:subject/>
  <dc:creator>casassj</dc:creator>
  <cp:keywords/>
  <cp:lastModifiedBy>Albert Vilajoana Español</cp:lastModifiedBy>
  <cp:revision>7</cp:revision>
  <cp:lastPrinted>2021-06-10T06:54:00Z</cp:lastPrinted>
  <dcterms:created xsi:type="dcterms:W3CDTF">2023-03-23T11:59:00Z</dcterms:created>
  <dcterms:modified xsi:type="dcterms:W3CDTF">2024-03-13T11:52:00Z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